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73FF" w14:textId="119192E7" w:rsidR="00285F68" w:rsidRDefault="008917AC" w:rsidP="00970E14">
      <w:pPr>
        <w:pStyle w:val="Title"/>
        <w:jc w:val="center"/>
      </w:pPr>
      <w:r>
        <w:t xml:space="preserve">Proposal for the </w:t>
      </w:r>
      <w:r w:rsidR="00115554">
        <w:t>d</w:t>
      </w:r>
      <w:r>
        <w:t>evelopment of a</w:t>
      </w:r>
      <w:r w:rsidR="006370AB">
        <w:t>n</w:t>
      </w:r>
      <w:r w:rsidR="00285F68">
        <w:t xml:space="preserve"> </w:t>
      </w:r>
    </w:p>
    <w:p w14:paraId="41DA5253" w14:textId="6719A8A2" w:rsidR="00285F68" w:rsidRDefault="006370AB" w:rsidP="00970E14">
      <w:pPr>
        <w:pStyle w:val="Title"/>
        <w:jc w:val="center"/>
      </w:pPr>
      <w:r>
        <w:t>alternative</w:t>
      </w:r>
      <w:r w:rsidR="00285F68">
        <w:t xml:space="preserve"> </w:t>
      </w:r>
      <w:r w:rsidR="00115554">
        <w:t>REC r</w:t>
      </w:r>
      <w:r w:rsidR="008917AC">
        <w:t xml:space="preserve">eview </w:t>
      </w:r>
      <w:r w:rsidR="00115554">
        <w:t>p</w:t>
      </w:r>
      <w:r w:rsidR="008917AC">
        <w:t xml:space="preserve">athway </w:t>
      </w:r>
      <w:r w:rsidR="00BA7C16">
        <w:t xml:space="preserve">for </w:t>
      </w:r>
    </w:p>
    <w:p w14:paraId="14196E6F" w14:textId="560967A7" w:rsidR="00E9450A" w:rsidRDefault="00BA7C16" w:rsidP="00970E14">
      <w:pPr>
        <w:pStyle w:val="Title"/>
        <w:jc w:val="center"/>
      </w:pPr>
      <w:r>
        <w:t>non-complex studies</w:t>
      </w:r>
    </w:p>
    <w:p w14:paraId="2EAE5C83" w14:textId="77777777" w:rsidR="00E9450A" w:rsidRDefault="008917AC">
      <w:pPr>
        <w:pStyle w:val="Heading1"/>
      </w:pPr>
      <w:r>
        <w:t>1. Background</w:t>
      </w:r>
    </w:p>
    <w:p w14:paraId="7BD20A28" w14:textId="5E6743E3" w:rsidR="003D6E71" w:rsidRDefault="008917AC" w:rsidP="00970E14">
      <w:pPr>
        <w:jc w:val="both"/>
      </w:pPr>
      <w:r>
        <w:t>As research activity grows in volume and diversity, the need to streamline review processes without compromising ethical standards becomes increasingly important.</w:t>
      </w:r>
      <w:r w:rsidR="001339C6">
        <w:t xml:space="preserve"> Full</w:t>
      </w:r>
      <w:r w:rsidR="00BA7C16">
        <w:t xml:space="preserve"> Research Ethic</w:t>
      </w:r>
      <w:r w:rsidR="00F73ECD">
        <w:t>s</w:t>
      </w:r>
      <w:r w:rsidR="001339C6">
        <w:t xml:space="preserve"> </w:t>
      </w:r>
      <w:r w:rsidR="00BA7C16">
        <w:t>C</w:t>
      </w:r>
      <w:r w:rsidR="001339C6">
        <w:t>ommittee</w:t>
      </w:r>
      <w:r w:rsidR="00BA7C16">
        <w:t xml:space="preserve"> (REC)</w:t>
      </w:r>
      <w:r w:rsidR="001339C6">
        <w:t xml:space="preserve"> meetings are particularly valuable for complex applications or those where there may be potential concerns about risk to participants</w:t>
      </w:r>
      <w:r w:rsidR="00F73ECD">
        <w:t xml:space="preserve"> or the research processes em</w:t>
      </w:r>
      <w:r w:rsidR="00104285">
        <w:t>p</w:t>
      </w:r>
      <w:r w:rsidR="00F73ECD">
        <w:t>loyed</w:t>
      </w:r>
      <w:r w:rsidR="001339C6">
        <w:t>, and where discussion within a broad, multidisciplinary committee can add important context and understanding. However, a significant proportion of applications to the I</w:t>
      </w:r>
      <w:r w:rsidR="00017CA7">
        <w:t xml:space="preserve">rish </w:t>
      </w:r>
      <w:r w:rsidR="001339C6">
        <w:t>C</w:t>
      </w:r>
      <w:r w:rsidR="00017CA7">
        <w:t xml:space="preserve">ollege of </w:t>
      </w:r>
      <w:r w:rsidR="001339C6">
        <w:t>GP</w:t>
      </w:r>
      <w:r w:rsidR="00017CA7">
        <w:t>s</w:t>
      </w:r>
      <w:r w:rsidR="001259A9">
        <w:t>’</w:t>
      </w:r>
      <w:r w:rsidR="001339C6">
        <w:t xml:space="preserve"> REC are studies that are methodologically straightforward, familiar to reviewers, and where the potential for harm is minimal. In these instances, a full committee discussion may not be necessary. In such cases, a</w:t>
      </w:r>
      <w:r w:rsidR="001259A9">
        <w:t xml:space="preserve">n alternative </w:t>
      </w:r>
      <w:r w:rsidR="001339C6">
        <w:t>review process provides an efficient and proportionate approach.</w:t>
      </w:r>
      <w:r>
        <w:t xml:space="preserve"> </w:t>
      </w:r>
    </w:p>
    <w:p w14:paraId="721FCC4D" w14:textId="5AADE9CF" w:rsidR="00E9450A" w:rsidRPr="00970E14" w:rsidRDefault="003D6E71" w:rsidP="00970E14">
      <w:pPr>
        <w:jc w:val="both"/>
        <w:rPr>
          <w:lang w:val="en-IE"/>
        </w:rPr>
      </w:pPr>
      <w:r>
        <w:t xml:space="preserve">This document </w:t>
      </w:r>
      <w:r w:rsidR="00D4333E">
        <w:t>proposes</w:t>
      </w:r>
      <w:r>
        <w:t xml:space="preserve"> the development and implementation of </w:t>
      </w:r>
      <w:r w:rsidR="00285F68">
        <w:t>a</w:t>
      </w:r>
      <w:r w:rsidR="00FB399A">
        <w:t xml:space="preserve">n alternative </w:t>
      </w:r>
      <w:r w:rsidR="00B16784">
        <w:t>review process</w:t>
      </w:r>
      <w:r>
        <w:t xml:space="preserve"> within the </w:t>
      </w:r>
      <w:r w:rsidR="00017CA7">
        <w:t>College’s</w:t>
      </w:r>
      <w:r>
        <w:t xml:space="preserve"> REC</w:t>
      </w:r>
      <w:r w:rsidR="00F91DE8">
        <w:t xml:space="preserve"> for non-</w:t>
      </w:r>
      <w:r w:rsidR="00B16784">
        <w:t>complex studies</w:t>
      </w:r>
      <w:r>
        <w:t>.</w:t>
      </w:r>
    </w:p>
    <w:p w14:paraId="48EDA773" w14:textId="77777777" w:rsidR="00E9450A" w:rsidRDefault="008917AC">
      <w:pPr>
        <w:pStyle w:val="Heading1"/>
      </w:pPr>
      <w:r>
        <w:t>2. Objectives</w:t>
      </w:r>
    </w:p>
    <w:p w14:paraId="3B5B4759" w14:textId="2FF933BE" w:rsidR="00E9450A" w:rsidRDefault="008917AC">
      <w:pPr>
        <w:pStyle w:val="ListBullet"/>
      </w:pPr>
      <w:r>
        <w:t xml:space="preserve">To </w:t>
      </w:r>
      <w:proofErr w:type="spellStart"/>
      <w:r>
        <w:t>optimi</w:t>
      </w:r>
      <w:r w:rsidR="00D4333E">
        <w:t>s</w:t>
      </w:r>
      <w:r>
        <w:t>e</w:t>
      </w:r>
      <w:proofErr w:type="spellEnd"/>
      <w:r>
        <w:t xml:space="preserve"> REC resources and improve efficiency</w:t>
      </w:r>
    </w:p>
    <w:p w14:paraId="37CCF5ED" w14:textId="6E6230D6" w:rsidR="00E9450A" w:rsidRDefault="008917AC">
      <w:pPr>
        <w:pStyle w:val="ListBullet"/>
      </w:pPr>
      <w:r>
        <w:t>To maintain robust ethical oversight while reducing unnecessary administrative burden for both applicants and reviewers</w:t>
      </w:r>
      <w:r w:rsidR="00764E88">
        <w:t>.</w:t>
      </w:r>
    </w:p>
    <w:p w14:paraId="104C1ACA" w14:textId="77777777" w:rsidR="00CE3065" w:rsidRDefault="00CE3065" w:rsidP="00CE3065">
      <w:pPr>
        <w:pStyle w:val="ListBullet"/>
        <w:numPr>
          <w:ilvl w:val="0"/>
          <w:numId w:val="0"/>
        </w:numPr>
        <w:ind w:left="360" w:hanging="360"/>
      </w:pPr>
    </w:p>
    <w:p w14:paraId="3ED0C5F6" w14:textId="0317C956" w:rsidR="00CE3065" w:rsidRPr="00171A0D" w:rsidRDefault="00CE3065" w:rsidP="00CE3065">
      <w:pPr>
        <w:pStyle w:val="ListBullet"/>
        <w:numPr>
          <w:ilvl w:val="0"/>
          <w:numId w:val="0"/>
        </w:numPr>
        <w:ind w:left="360" w:hanging="36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171A0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3. Summary of proposed changes</w:t>
      </w:r>
    </w:p>
    <w:p w14:paraId="35DA9BB9" w14:textId="47F884A4" w:rsidR="00CE3065" w:rsidRDefault="00F91DE8" w:rsidP="00970E14">
      <w:pPr>
        <w:pStyle w:val="ListBullet"/>
        <w:numPr>
          <w:ilvl w:val="0"/>
          <w:numId w:val="10"/>
        </w:numPr>
        <w:ind w:left="360"/>
        <w:jc w:val="both"/>
      </w:pPr>
      <w:r>
        <w:t>Such</w:t>
      </w:r>
      <w:r w:rsidR="004B7C45">
        <w:t xml:space="preserve"> applications </w:t>
      </w:r>
      <w:r w:rsidR="00CE3065">
        <w:t xml:space="preserve">may be submitted </w:t>
      </w:r>
      <w:r w:rsidR="00E65C17">
        <w:t xml:space="preserve">on a rolling </w:t>
      </w:r>
      <w:r w:rsidR="00BA7C16">
        <w:t>basis and</w:t>
      </w:r>
      <w:r w:rsidR="00E65C17">
        <w:t xml:space="preserve"> </w:t>
      </w:r>
      <w:r w:rsidR="00CE3065">
        <w:t>not tied to meeting dates and submission deadlines</w:t>
      </w:r>
      <w:r w:rsidR="00764E88">
        <w:t>.</w:t>
      </w:r>
    </w:p>
    <w:p w14:paraId="2FDAA3D5" w14:textId="24056E02" w:rsidR="00E65C17" w:rsidRDefault="00E65C17" w:rsidP="00970E14">
      <w:pPr>
        <w:pStyle w:val="ListBullet"/>
        <w:numPr>
          <w:ilvl w:val="0"/>
          <w:numId w:val="10"/>
        </w:numPr>
        <w:ind w:left="360"/>
        <w:jc w:val="both"/>
      </w:pPr>
      <w:r>
        <w:t xml:space="preserve">Criteria for </w:t>
      </w:r>
      <w:r w:rsidR="007B7A77">
        <w:t>alternative</w:t>
      </w:r>
      <w:r>
        <w:t xml:space="preserve"> </w:t>
      </w:r>
      <w:r w:rsidR="00970E14">
        <w:t>reviews</w:t>
      </w:r>
      <w:r>
        <w:t xml:space="preserve"> will be published on the</w:t>
      </w:r>
      <w:r w:rsidR="00017CA7">
        <w:t xml:space="preserve"> College’s</w:t>
      </w:r>
      <w:r>
        <w:t xml:space="preserve"> REC website and applicants will be asked to declare whether their submission meets the criteria for </w:t>
      </w:r>
      <w:r w:rsidR="007B7A77">
        <w:t>the alternative</w:t>
      </w:r>
      <w:r>
        <w:t xml:space="preserve"> review</w:t>
      </w:r>
      <w:r w:rsidR="007B7A77">
        <w:t xml:space="preserve"> process dedicated to non-complex studies</w:t>
      </w:r>
      <w:r w:rsidR="00764E88">
        <w:t>.</w:t>
      </w:r>
      <w:r w:rsidR="007B7A77">
        <w:t xml:space="preserve"> </w:t>
      </w:r>
    </w:p>
    <w:p w14:paraId="5C4542EE" w14:textId="7F5A01D0" w:rsidR="00BA7C16" w:rsidRDefault="00E65C17" w:rsidP="00970E14">
      <w:pPr>
        <w:pStyle w:val="ListBullet"/>
        <w:numPr>
          <w:ilvl w:val="0"/>
          <w:numId w:val="10"/>
        </w:numPr>
        <w:ind w:left="360"/>
        <w:jc w:val="both"/>
      </w:pPr>
      <w:r>
        <w:t>A</w:t>
      </w:r>
      <w:r w:rsidR="00CE3065">
        <w:t xml:space="preserve"> sub-</w:t>
      </w:r>
      <w:r>
        <w:t xml:space="preserve">committee </w:t>
      </w:r>
      <w:r w:rsidR="00CE3065">
        <w:t>of the REC</w:t>
      </w:r>
      <w:r>
        <w:t xml:space="preserve"> will be convened</w:t>
      </w:r>
      <w:r w:rsidR="00CE3065">
        <w:t xml:space="preserve"> </w:t>
      </w:r>
      <w:r>
        <w:t>to</w:t>
      </w:r>
      <w:r w:rsidR="00CE3065">
        <w:t xml:space="preserve"> review studies</w:t>
      </w:r>
      <w:r>
        <w:t xml:space="preserve"> submitted though th</w:t>
      </w:r>
      <w:r w:rsidR="00CE5679">
        <w:t xml:space="preserve">is alternative </w:t>
      </w:r>
      <w:r>
        <w:t>process</w:t>
      </w:r>
      <w:r w:rsidR="00CE3065">
        <w:t xml:space="preserve"> (this group will rotate every 6-12 months to ensure variety for members)</w:t>
      </w:r>
      <w:r w:rsidR="00764E88">
        <w:t>.</w:t>
      </w:r>
    </w:p>
    <w:p w14:paraId="6C730E06" w14:textId="3B048685" w:rsidR="00CE3065" w:rsidRDefault="001133AC" w:rsidP="00970E14">
      <w:pPr>
        <w:pStyle w:val="ListBullet"/>
        <w:numPr>
          <w:ilvl w:val="0"/>
          <w:numId w:val="10"/>
        </w:numPr>
        <w:ind w:left="360"/>
        <w:jc w:val="both"/>
      </w:pPr>
      <w:r>
        <w:lastRenderedPageBreak/>
        <w:t xml:space="preserve">The REC </w:t>
      </w:r>
      <w:r w:rsidR="00CE3065">
        <w:t xml:space="preserve">Chair will nominate a </w:t>
      </w:r>
      <w:r>
        <w:t>sub-</w:t>
      </w:r>
      <w:r w:rsidR="007D18E2">
        <w:t>committee</w:t>
      </w:r>
      <w:r w:rsidR="00CE3065">
        <w:t xml:space="preserve"> </w:t>
      </w:r>
      <w:proofErr w:type="gramStart"/>
      <w:r w:rsidR="00CE3065">
        <w:t>lead</w:t>
      </w:r>
      <w:proofErr w:type="gramEnd"/>
      <w:r w:rsidR="00CE3065">
        <w:t>, who will also attend the full REC meeting a</w:t>
      </w:r>
      <w:r w:rsidR="00E65C17">
        <w:t>nd</w:t>
      </w:r>
      <w:r w:rsidR="00CE3065">
        <w:t xml:space="preserve"> provide a short report on the low-risk studies reviewed in the previous two months</w:t>
      </w:r>
      <w:r w:rsidR="00764E88">
        <w:t>.</w:t>
      </w:r>
    </w:p>
    <w:p w14:paraId="436BEA45" w14:textId="37A95CD5" w:rsidR="00E65C17" w:rsidRDefault="00CE5679" w:rsidP="00970E14">
      <w:pPr>
        <w:pStyle w:val="ListBullet"/>
        <w:numPr>
          <w:ilvl w:val="0"/>
          <w:numId w:val="10"/>
        </w:numPr>
        <w:ind w:left="360"/>
        <w:jc w:val="both"/>
      </w:pPr>
      <w:r>
        <w:t>These</w:t>
      </w:r>
      <w:r w:rsidR="00E65C17">
        <w:t xml:space="preserve"> applications may be referred </w:t>
      </w:r>
      <w:proofErr w:type="gramStart"/>
      <w:r w:rsidR="00BA7C16">
        <w:t>for</w:t>
      </w:r>
      <w:proofErr w:type="gramEnd"/>
      <w:r w:rsidR="00BA7C16">
        <w:t xml:space="preserve"> standard REC review at the next available meeting </w:t>
      </w:r>
      <w:r w:rsidR="00E65C17">
        <w:t>if deemed necessary by the sub-committee lead or reviewers</w:t>
      </w:r>
      <w:r w:rsidR="00764E88">
        <w:t>.</w:t>
      </w:r>
    </w:p>
    <w:p w14:paraId="5D396DD0" w14:textId="7CFE0B3C" w:rsidR="008917AC" w:rsidRDefault="00E65C17" w:rsidP="00970E14">
      <w:pPr>
        <w:pStyle w:val="ListBullet"/>
        <w:numPr>
          <w:ilvl w:val="0"/>
          <w:numId w:val="10"/>
        </w:numPr>
        <w:ind w:left="360"/>
        <w:jc w:val="both"/>
      </w:pPr>
      <w:r>
        <w:t>The</w:t>
      </w:r>
      <w:r w:rsidR="00071D78">
        <w:t xml:space="preserve"> </w:t>
      </w:r>
      <w:r>
        <w:t xml:space="preserve">review process </w:t>
      </w:r>
      <w:r w:rsidR="00CE5679">
        <w:t xml:space="preserve">for applications deemed eligible by the sub-committee for this alternative review process </w:t>
      </w:r>
      <w:r>
        <w:t xml:space="preserve">will be completed within </w:t>
      </w:r>
      <w:r w:rsidR="00BA7C16">
        <w:t>four</w:t>
      </w:r>
      <w:r>
        <w:t xml:space="preserve"> weeks of submission</w:t>
      </w:r>
      <w:r w:rsidR="007D18E2">
        <w:t xml:space="preserve"> by the applicant</w:t>
      </w:r>
      <w:r w:rsidR="00764E88">
        <w:t>.</w:t>
      </w:r>
    </w:p>
    <w:p w14:paraId="3A906D61" w14:textId="3913AB51" w:rsidR="00BA7C16" w:rsidRDefault="00BA7C16" w:rsidP="00BA7C16">
      <w:pPr>
        <w:pStyle w:val="Heading1"/>
      </w:pPr>
      <w:r>
        <w:t xml:space="preserve">4. Proposed criteria for </w:t>
      </w:r>
      <w:r w:rsidR="00CE5679">
        <w:t>alternative</w:t>
      </w:r>
      <w:r>
        <w:t xml:space="preserve"> review</w:t>
      </w:r>
    </w:p>
    <w:p w14:paraId="1FDF93CF" w14:textId="3DB9780E" w:rsidR="00BA7C16" w:rsidRDefault="00BA7C16" w:rsidP="00BA7C16">
      <w:pPr>
        <w:pStyle w:val="Heading2"/>
      </w:pPr>
      <w:r>
        <w:t>Inclusion criteria</w:t>
      </w:r>
    </w:p>
    <w:p w14:paraId="2297E5DF" w14:textId="62A48118" w:rsidR="00BA7C16" w:rsidRDefault="00BA7C16" w:rsidP="008D4DFF">
      <w:pPr>
        <w:pStyle w:val="ListParagraph"/>
        <w:numPr>
          <w:ilvl w:val="0"/>
          <w:numId w:val="17"/>
        </w:numPr>
      </w:pPr>
      <w:r>
        <w:t>Anonymous cross-sectional surveys</w:t>
      </w:r>
      <w:r w:rsidR="001E6BDB">
        <w:t xml:space="preserve"> where all recruitment processes are deemed appropriate</w:t>
      </w:r>
      <w:r w:rsidR="008477DB">
        <w:t xml:space="preserve">, such as the use of an appropriate gatekeeper and </w:t>
      </w:r>
      <w:r w:rsidR="004C233E">
        <w:t>participant privacy is protected (for example no IP addresses are collected).</w:t>
      </w:r>
    </w:p>
    <w:p w14:paraId="385A7148" w14:textId="18DE6295" w:rsidR="00BA7C16" w:rsidRDefault="00BA7C16" w:rsidP="008D4DFF">
      <w:pPr>
        <w:pStyle w:val="ListParagraph"/>
        <w:numPr>
          <w:ilvl w:val="0"/>
          <w:numId w:val="17"/>
        </w:numPr>
      </w:pPr>
      <w:r>
        <w:t>Stakeholder or qualitative studies involving professionals only</w:t>
      </w:r>
      <w:r w:rsidR="004C233E">
        <w:t xml:space="preserve"> </w:t>
      </w:r>
      <w:r w:rsidR="004C233E" w:rsidRPr="004C233E">
        <w:t>as long as their identities are protected and they cannot be easily identified</w:t>
      </w:r>
      <w:r w:rsidR="00764E88">
        <w:t>.</w:t>
      </w:r>
    </w:p>
    <w:p w14:paraId="44C7C4E1" w14:textId="77777777" w:rsidR="00F364B3" w:rsidRPr="00F364B3" w:rsidRDefault="00BA7C16" w:rsidP="00F364B3">
      <w:pPr>
        <w:pStyle w:val="ListParagraph"/>
        <w:numPr>
          <w:ilvl w:val="0"/>
          <w:numId w:val="17"/>
        </w:numPr>
        <w:rPr>
          <w:i/>
          <w:iCs/>
          <w:lang w:val="en-IE"/>
        </w:rPr>
      </w:pPr>
      <w:r>
        <w:t>Single-site retrospective chart reviews</w:t>
      </w:r>
      <w:r w:rsidR="00F364B3">
        <w:t xml:space="preserve"> </w:t>
      </w:r>
      <w:r w:rsidR="00F364B3" w:rsidRPr="003137DA">
        <w:rPr>
          <w:lang w:val="en-IE"/>
        </w:rPr>
        <w:t>where data are extracted by a clinician with legitimate access and only de-identified, aggregate data leave the practice</w:t>
      </w:r>
      <w:r w:rsidR="00F364B3" w:rsidRPr="00F364B3">
        <w:rPr>
          <w:i/>
          <w:iCs/>
          <w:lang w:val="en-IE"/>
        </w:rPr>
        <w:t>.</w:t>
      </w:r>
    </w:p>
    <w:p w14:paraId="1FD52065" w14:textId="1E83F02D" w:rsidR="00BA7C16" w:rsidRDefault="00BA7C16" w:rsidP="003137DA">
      <w:pPr>
        <w:pStyle w:val="ListParagraph"/>
      </w:pPr>
    </w:p>
    <w:p w14:paraId="4A34D112" w14:textId="6469CB12" w:rsidR="008D4DFF" w:rsidRDefault="008D4DFF" w:rsidP="008D4DFF">
      <w:pPr>
        <w:pStyle w:val="Heading2"/>
      </w:pPr>
      <w:r>
        <w:t>Exclusion criteria</w:t>
      </w:r>
    </w:p>
    <w:p w14:paraId="49A05DCF" w14:textId="2F7B6BD4" w:rsidR="008D4DFF" w:rsidRDefault="008D4DFF" w:rsidP="008D4DFF">
      <w:pPr>
        <w:pStyle w:val="ListParagraph"/>
        <w:numPr>
          <w:ilvl w:val="0"/>
          <w:numId w:val="18"/>
        </w:numPr>
      </w:pPr>
      <w:r>
        <w:t>Interventional or experimental studies</w:t>
      </w:r>
    </w:p>
    <w:p w14:paraId="12327D27" w14:textId="77777777" w:rsidR="008D4DFF" w:rsidRDefault="008D4DFF" w:rsidP="008D4DFF">
      <w:pPr>
        <w:pStyle w:val="ListParagraph"/>
        <w:numPr>
          <w:ilvl w:val="0"/>
          <w:numId w:val="18"/>
        </w:numPr>
      </w:pPr>
      <w:r>
        <w:t>Any studies recruiting vulnerable groups</w:t>
      </w:r>
    </w:p>
    <w:p w14:paraId="0811B159" w14:textId="2678AB6C" w:rsidR="008D4DFF" w:rsidRDefault="008D4DFF" w:rsidP="008D4DFF">
      <w:pPr>
        <w:pStyle w:val="ListParagraph"/>
        <w:numPr>
          <w:ilvl w:val="0"/>
          <w:numId w:val="18"/>
        </w:numPr>
      </w:pPr>
      <w:r w:rsidRPr="008D4DFF">
        <w:t>Complex or multi-phase studies (e.g., mixed-methods projects with follow-up or longitudinal components)</w:t>
      </w:r>
      <w:r w:rsidR="00764E88">
        <w:t>.</w:t>
      </w:r>
    </w:p>
    <w:p w14:paraId="3EE058AA" w14:textId="3F8ECCD3" w:rsidR="009B1975" w:rsidRDefault="009B1975" w:rsidP="008D4DFF">
      <w:pPr>
        <w:pStyle w:val="ListParagraph"/>
        <w:numPr>
          <w:ilvl w:val="0"/>
          <w:numId w:val="18"/>
        </w:numPr>
      </w:pPr>
      <w:r>
        <w:t>Any of the included studies deemed not to meet the required standards in relation to GDPR</w:t>
      </w:r>
      <w:r w:rsidR="00F668DA">
        <w:t>, confidentiality, data sharing, informed consent or anonymity.</w:t>
      </w:r>
    </w:p>
    <w:p w14:paraId="76C7053F" w14:textId="29CD4A4C" w:rsidR="00E9450A" w:rsidRDefault="008D4DFF" w:rsidP="008D4DFF">
      <w:pPr>
        <w:pStyle w:val="Heading1"/>
      </w:pPr>
      <w:r>
        <w:t>5</w:t>
      </w:r>
      <w:r w:rsidR="008917AC">
        <w:t>. Proposed Process</w:t>
      </w:r>
    </w:p>
    <w:p w14:paraId="36ED1A71" w14:textId="00762BD8" w:rsidR="008D4DFF" w:rsidRDefault="008917AC" w:rsidP="00970E14">
      <w:pPr>
        <w:pStyle w:val="Heading2"/>
        <w:jc w:val="both"/>
        <w:rPr>
          <w:lang w:val="en-IE"/>
        </w:rPr>
      </w:pPr>
      <w:r w:rsidRPr="4E032184">
        <w:rPr>
          <w:lang w:val="en-IE"/>
        </w:rPr>
        <w:t xml:space="preserve">Step 1: </w:t>
      </w:r>
      <w:r w:rsidR="00071D78">
        <w:rPr>
          <w:lang w:val="en-IE"/>
        </w:rPr>
        <w:t>A</w:t>
      </w:r>
      <w:r w:rsidR="00E65C17">
        <w:rPr>
          <w:lang w:val="en-IE"/>
        </w:rPr>
        <w:t>pplicant declare</w:t>
      </w:r>
      <w:r w:rsidR="007D18E2">
        <w:rPr>
          <w:lang w:val="en-IE"/>
        </w:rPr>
        <w:t>s</w:t>
      </w:r>
      <w:r w:rsidR="00E65C17">
        <w:rPr>
          <w:lang w:val="en-IE"/>
        </w:rPr>
        <w:t xml:space="preserve"> whether their submission is appropriate for </w:t>
      </w:r>
      <w:r w:rsidR="00DC49B4">
        <w:rPr>
          <w:lang w:val="en-IE"/>
        </w:rPr>
        <w:t>alternative</w:t>
      </w:r>
      <w:r w:rsidR="00E65C17">
        <w:rPr>
          <w:lang w:val="en-IE"/>
        </w:rPr>
        <w:t xml:space="preserve"> </w:t>
      </w:r>
      <w:r w:rsidR="0082201D">
        <w:rPr>
          <w:lang w:val="en-IE"/>
        </w:rPr>
        <w:t>review upon</w:t>
      </w:r>
      <w:r w:rsidR="00071D78">
        <w:rPr>
          <w:lang w:val="en-IE"/>
        </w:rPr>
        <w:t xml:space="preserve"> submission via </w:t>
      </w:r>
      <w:proofErr w:type="spellStart"/>
      <w:r w:rsidR="00071D78">
        <w:rPr>
          <w:lang w:val="en-IE"/>
        </w:rPr>
        <w:t>Vidatum</w:t>
      </w:r>
      <w:proofErr w:type="spellEnd"/>
    </w:p>
    <w:p w14:paraId="56AE8DFA" w14:textId="5A4050B6" w:rsidR="00E9450A" w:rsidRDefault="00CE3065" w:rsidP="00970E14">
      <w:pPr>
        <w:jc w:val="both"/>
        <w:rPr>
          <w:lang w:val="en-IE"/>
        </w:rPr>
      </w:pPr>
      <w:r>
        <w:rPr>
          <w:lang w:val="en-IE"/>
        </w:rPr>
        <w:t xml:space="preserve">Applicants submit all documentation and complete the REC application online </w:t>
      </w:r>
      <w:r w:rsidR="00BA7C16">
        <w:rPr>
          <w:lang w:val="en-IE"/>
        </w:rPr>
        <w:t>in the usual manner</w:t>
      </w:r>
      <w:r>
        <w:rPr>
          <w:lang w:val="en-IE"/>
        </w:rPr>
        <w:t xml:space="preserve">, with the addition of a </w:t>
      </w:r>
      <w:r w:rsidR="00B16784">
        <w:rPr>
          <w:lang w:val="en-IE"/>
        </w:rPr>
        <w:t>checkbox</w:t>
      </w:r>
      <w:r>
        <w:rPr>
          <w:lang w:val="en-IE"/>
        </w:rPr>
        <w:t xml:space="preserve"> (pending </w:t>
      </w:r>
      <w:proofErr w:type="spellStart"/>
      <w:r>
        <w:rPr>
          <w:lang w:val="en-IE"/>
        </w:rPr>
        <w:t>Vidatum</w:t>
      </w:r>
      <w:proofErr w:type="spellEnd"/>
      <w:r>
        <w:rPr>
          <w:lang w:val="en-IE"/>
        </w:rPr>
        <w:t xml:space="preserve"> costs) or letter noting that this application meets </w:t>
      </w:r>
      <w:r w:rsidR="00BA7C16">
        <w:rPr>
          <w:lang w:val="en-IE"/>
        </w:rPr>
        <w:t xml:space="preserve">the </w:t>
      </w:r>
      <w:r w:rsidR="00DC49B4">
        <w:rPr>
          <w:lang w:val="en-IE"/>
        </w:rPr>
        <w:t>alternative review</w:t>
      </w:r>
      <w:r>
        <w:rPr>
          <w:lang w:val="en-IE"/>
        </w:rPr>
        <w:t xml:space="preserve"> pathway criteria. </w:t>
      </w:r>
    </w:p>
    <w:p w14:paraId="01899C19" w14:textId="49EA58B5" w:rsidR="00E9450A" w:rsidRDefault="008917AC" w:rsidP="008D4DFF">
      <w:pPr>
        <w:pStyle w:val="Heading2"/>
      </w:pPr>
      <w:r>
        <w:lastRenderedPageBreak/>
        <w:t xml:space="preserve">Step 2: Triage by </w:t>
      </w:r>
      <w:r w:rsidR="00DC49B4">
        <w:t>sub-</w:t>
      </w:r>
      <w:r w:rsidR="00E65C17">
        <w:t>committee lead</w:t>
      </w:r>
    </w:p>
    <w:p w14:paraId="0357B5F2" w14:textId="19CD1A75" w:rsidR="006375D9" w:rsidRDefault="008917AC" w:rsidP="00970E14">
      <w:pPr>
        <w:jc w:val="both"/>
      </w:pPr>
      <w:r>
        <w:t xml:space="preserve">The </w:t>
      </w:r>
      <w:r w:rsidR="00DC49B4">
        <w:t>sub-committee</w:t>
      </w:r>
      <w:r w:rsidR="00E65C17">
        <w:t xml:space="preserve"> </w:t>
      </w:r>
      <w:r w:rsidR="00A1A49D">
        <w:t>lead</w:t>
      </w:r>
      <w:r>
        <w:t xml:space="preserve"> </w:t>
      </w:r>
      <w:r w:rsidR="00BA7C16">
        <w:t>screens</w:t>
      </w:r>
      <w:r>
        <w:t xml:space="preserve"> the application for completeness and determines whether the </w:t>
      </w:r>
      <w:r w:rsidR="006375D9">
        <w:t xml:space="preserve">application </w:t>
      </w:r>
      <w:r>
        <w:t xml:space="preserve">qualifies for the </w:t>
      </w:r>
      <w:r w:rsidR="00043BB9">
        <w:t>alternative review</w:t>
      </w:r>
      <w:r>
        <w:t xml:space="preserve"> pathway based on the checklist and supporting materials.</w:t>
      </w:r>
      <w:r w:rsidR="6EE3F56C">
        <w:t xml:space="preserve"> </w:t>
      </w:r>
    </w:p>
    <w:p w14:paraId="684AD64C" w14:textId="6C7CB09A" w:rsidR="001F1816" w:rsidRDefault="006375D9" w:rsidP="00970E14">
      <w:pPr>
        <w:pStyle w:val="ListParagraph"/>
        <w:numPr>
          <w:ilvl w:val="0"/>
          <w:numId w:val="13"/>
        </w:numPr>
        <w:jc w:val="both"/>
      </w:pPr>
      <w:r>
        <w:t>Applications deemed inappropriate are sent by the lead for consideration at the next meeting. The applicant is informed of this including the</w:t>
      </w:r>
      <w:r w:rsidR="00163107">
        <w:t xml:space="preserve"> rationale for the decision and the</w:t>
      </w:r>
      <w:r>
        <w:t xml:space="preserve"> date of the committee meeting. </w:t>
      </w:r>
    </w:p>
    <w:p w14:paraId="7CC8AC73" w14:textId="79DB9077" w:rsidR="00DE083F" w:rsidRDefault="00DE083F" w:rsidP="00970E14">
      <w:pPr>
        <w:pStyle w:val="ListParagraph"/>
        <w:numPr>
          <w:ilvl w:val="0"/>
          <w:numId w:val="13"/>
        </w:numPr>
        <w:jc w:val="both"/>
      </w:pPr>
      <w:r>
        <w:t xml:space="preserve">Applications deemed appropriate are </w:t>
      </w:r>
      <w:r w:rsidR="002C4FC7">
        <w:t>sent for review to the sub-committee.</w:t>
      </w:r>
    </w:p>
    <w:p w14:paraId="2E8329AE" w14:textId="6A732FD2" w:rsidR="006375D9" w:rsidRDefault="001F1816" w:rsidP="00EE4928">
      <w:pPr>
        <w:pStyle w:val="ListParagraph"/>
        <w:numPr>
          <w:ilvl w:val="0"/>
          <w:numId w:val="13"/>
        </w:numPr>
        <w:jc w:val="both"/>
      </w:pPr>
      <w:r>
        <w:t xml:space="preserve">The </w:t>
      </w:r>
      <w:r w:rsidR="00BF27FE">
        <w:t>sub-committee</w:t>
      </w:r>
      <w:r>
        <w:t xml:space="preserve"> </w:t>
      </w:r>
      <w:proofErr w:type="gramStart"/>
      <w:r w:rsidR="00B16784">
        <w:t>lead</w:t>
      </w:r>
      <w:proofErr w:type="gramEnd"/>
      <w:r w:rsidR="00B16784">
        <w:t xml:space="preserve"> </w:t>
      </w:r>
      <w:r>
        <w:t>will complete this process within one week of receipt of the application.</w:t>
      </w:r>
    </w:p>
    <w:p w14:paraId="39CE790D" w14:textId="416ED061" w:rsidR="006375D9" w:rsidRDefault="006375D9" w:rsidP="008D4DFF">
      <w:pPr>
        <w:pStyle w:val="Heading2"/>
      </w:pPr>
      <w:r>
        <w:t xml:space="preserve">Step 3: Review by sub-committee </w:t>
      </w:r>
    </w:p>
    <w:p w14:paraId="17360A41" w14:textId="642F18F8" w:rsidR="00E9450A" w:rsidRDefault="006375D9" w:rsidP="00970E14">
      <w:pPr>
        <w:jc w:val="both"/>
      </w:pPr>
      <w:r>
        <w:t>Each</w:t>
      </w:r>
      <w:r w:rsidR="00132054">
        <w:t xml:space="preserve"> </w:t>
      </w:r>
      <w:r>
        <w:t xml:space="preserve">application will be reviewed by two scientific reviewers and one PPI reviewer.  </w:t>
      </w:r>
    </w:p>
    <w:p w14:paraId="3BBBF97E" w14:textId="37B19745" w:rsidR="00C84894" w:rsidRDefault="00132054" w:rsidP="00970E14">
      <w:pPr>
        <w:pStyle w:val="ListParagraph"/>
        <w:numPr>
          <w:ilvl w:val="0"/>
          <w:numId w:val="14"/>
        </w:numPr>
        <w:jc w:val="both"/>
      </w:pPr>
      <w:r>
        <w:t>Any</w:t>
      </w:r>
      <w:r w:rsidR="00C84894">
        <w:t xml:space="preserve"> sub-committee member can refer the application back to the lead if they feel it would be more appropriate for </w:t>
      </w:r>
      <w:r w:rsidR="00300805">
        <w:t xml:space="preserve">a </w:t>
      </w:r>
      <w:r>
        <w:t xml:space="preserve">standard </w:t>
      </w:r>
      <w:r w:rsidR="00300805">
        <w:t>full-committee review. In cases where there is disagreement within the sub-committee</w:t>
      </w:r>
      <w:r w:rsidR="00D42C4F">
        <w:t>,</w:t>
      </w:r>
      <w:r w:rsidR="00300805">
        <w:t xml:space="preserve"> the application will be sent to the REC Chair who will have the deciding vote</w:t>
      </w:r>
      <w:r w:rsidR="00D42C4F">
        <w:t xml:space="preserve">. once no conflict of interest exists (if so, an alternative committee </w:t>
      </w:r>
      <w:proofErr w:type="gramStart"/>
      <w:r w:rsidR="00D42C4F">
        <w:t>members</w:t>
      </w:r>
      <w:proofErr w:type="gramEnd"/>
      <w:r w:rsidR="00D42C4F">
        <w:t xml:space="preserve"> will be appointed to this task).</w:t>
      </w:r>
      <w:r w:rsidR="00300805">
        <w:t xml:space="preserve"> </w:t>
      </w:r>
    </w:p>
    <w:p w14:paraId="56DC4805" w14:textId="0BA1B547" w:rsidR="00911CC3" w:rsidRDefault="00132054" w:rsidP="00970E14">
      <w:pPr>
        <w:pStyle w:val="ListParagraph"/>
        <w:numPr>
          <w:ilvl w:val="0"/>
          <w:numId w:val="14"/>
        </w:numPr>
        <w:jc w:val="both"/>
      </w:pPr>
      <w:r>
        <w:t>When an application is</w:t>
      </w:r>
      <w:r w:rsidR="00911CC3">
        <w:t xml:space="preserve"> sent for standard review the applicant will be informed of this, including the rationale for the decision and the date of the next committee meeting.</w:t>
      </w:r>
    </w:p>
    <w:p w14:paraId="0F3428AC" w14:textId="1B8E277F" w:rsidR="00E9450A" w:rsidRDefault="00571099" w:rsidP="00970E14">
      <w:pPr>
        <w:pStyle w:val="ListParagraph"/>
        <w:numPr>
          <w:ilvl w:val="0"/>
          <w:numId w:val="14"/>
        </w:numPr>
        <w:jc w:val="both"/>
      </w:pPr>
      <w:r>
        <w:t xml:space="preserve">The </w:t>
      </w:r>
      <w:r w:rsidR="00A65EB9">
        <w:t>sub-</w:t>
      </w:r>
      <w:r w:rsidR="00B16784">
        <w:t>committee reviewers</w:t>
      </w:r>
      <w:r>
        <w:t xml:space="preserve"> will complete th</w:t>
      </w:r>
      <w:r w:rsidR="00911CC3">
        <w:t>e review</w:t>
      </w:r>
      <w:r>
        <w:t xml:space="preserve"> process within one week of receipt of the application. </w:t>
      </w:r>
    </w:p>
    <w:p w14:paraId="5047EB96" w14:textId="6275E2A9" w:rsidR="00202A2C" w:rsidRDefault="00202A2C" w:rsidP="008D4DFF">
      <w:pPr>
        <w:pStyle w:val="Heading2"/>
      </w:pPr>
      <w:r>
        <w:t xml:space="preserve">Step 4: Decision and response to </w:t>
      </w:r>
      <w:r w:rsidR="00163107">
        <w:t>applicant</w:t>
      </w:r>
      <w:r w:rsidR="008D4DFF">
        <w:t xml:space="preserve"> by </w:t>
      </w:r>
      <w:r w:rsidR="00A65EB9">
        <w:t>sub-committee</w:t>
      </w:r>
      <w:r w:rsidR="008D4DFF">
        <w:t xml:space="preserve"> lead supported by administrator</w:t>
      </w:r>
    </w:p>
    <w:p w14:paraId="0E45D00A" w14:textId="7E551809" w:rsidR="00CE3065" w:rsidRDefault="00FD4197" w:rsidP="00970E14">
      <w:pPr>
        <w:pStyle w:val="ListBullet"/>
        <w:jc w:val="both"/>
      </w:pPr>
      <w:r>
        <w:t xml:space="preserve">Upon completion of the review by all reviewers, the </w:t>
      </w:r>
      <w:proofErr w:type="gramStart"/>
      <w:r w:rsidR="00CE3065">
        <w:t>lead</w:t>
      </w:r>
      <w:proofErr w:type="gramEnd"/>
      <w:r w:rsidR="00CE3065">
        <w:t xml:space="preserve"> </w:t>
      </w:r>
      <w:r>
        <w:t>wil</w:t>
      </w:r>
      <w:r w:rsidR="00A67E29">
        <w:t>l</w:t>
      </w:r>
      <w:r>
        <w:t xml:space="preserve"> </w:t>
      </w:r>
      <w:r w:rsidR="00CE3065">
        <w:t xml:space="preserve">collate </w:t>
      </w:r>
      <w:r>
        <w:t xml:space="preserve">the </w:t>
      </w:r>
      <w:r w:rsidR="009A0F63">
        <w:t xml:space="preserve">reviews </w:t>
      </w:r>
      <w:r w:rsidR="00CE3065">
        <w:t>and make</w:t>
      </w:r>
      <w:r>
        <w:t xml:space="preserve"> </w:t>
      </w:r>
      <w:r w:rsidR="00BA7C16">
        <w:t>a final</w:t>
      </w:r>
      <w:r w:rsidR="00CE3065">
        <w:t xml:space="preserve"> decision</w:t>
      </w:r>
      <w:r w:rsidR="00764E88">
        <w:t>.</w:t>
      </w:r>
    </w:p>
    <w:p w14:paraId="431BF6F5" w14:textId="59EE2187" w:rsidR="00E9450A" w:rsidRDefault="00A67E29" w:rsidP="00970E14">
      <w:pPr>
        <w:pStyle w:val="ListBullet"/>
        <w:jc w:val="both"/>
      </w:pPr>
      <w:r>
        <w:t>Th</w:t>
      </w:r>
      <w:r w:rsidR="00EA00B1">
        <w:t>e</w:t>
      </w:r>
      <w:r>
        <w:t xml:space="preserve"> lead will complete this process within one week of receiving all the reviews for the </w:t>
      </w:r>
      <w:r w:rsidR="00EA00B1">
        <w:t>application</w:t>
      </w:r>
      <w:r>
        <w:t>.</w:t>
      </w:r>
    </w:p>
    <w:p w14:paraId="650484EC" w14:textId="21880E41" w:rsidR="00CE3065" w:rsidRDefault="00CE3065" w:rsidP="00970E14">
      <w:pPr>
        <w:pStyle w:val="ListBullet"/>
        <w:jc w:val="both"/>
      </w:pPr>
      <w:r>
        <w:t>Where revisions are requested, applicants will have one month to provide the revised documentation (as per current process)</w:t>
      </w:r>
      <w:r w:rsidR="00764E88">
        <w:t>.</w:t>
      </w:r>
    </w:p>
    <w:p w14:paraId="100FDF0E" w14:textId="3C40784A" w:rsidR="00E9450A" w:rsidRDefault="008D4DFF">
      <w:pPr>
        <w:pStyle w:val="Heading1"/>
      </w:pPr>
      <w:r>
        <w:t>6</w:t>
      </w:r>
      <w:r w:rsidR="008917AC">
        <w:t>. Implementation Plan</w:t>
      </w:r>
    </w:p>
    <w:p w14:paraId="65C4CB6E" w14:textId="463B6F1A" w:rsidR="00CE3065" w:rsidRDefault="00CE3065" w:rsidP="00970E14">
      <w:pPr>
        <w:pStyle w:val="ListBullet"/>
        <w:jc w:val="both"/>
      </w:pPr>
      <w:r>
        <w:t xml:space="preserve">Seek </w:t>
      </w:r>
      <w:r w:rsidR="00BA7C16">
        <w:t xml:space="preserve">feedback and endorsement </w:t>
      </w:r>
      <w:r>
        <w:t>from REC members (November meeting)</w:t>
      </w:r>
    </w:p>
    <w:p w14:paraId="748FF20A" w14:textId="6B73DAC2" w:rsidR="00E9450A" w:rsidRDefault="00CE3065" w:rsidP="00970E14">
      <w:pPr>
        <w:pStyle w:val="ListBullet"/>
        <w:jc w:val="both"/>
      </w:pPr>
      <w:r>
        <w:t>Nominate</w:t>
      </w:r>
      <w:r w:rsidR="008917AC">
        <w:t xml:space="preserve"> </w:t>
      </w:r>
      <w:r w:rsidR="00F26BA5">
        <w:t>sub-</w:t>
      </w:r>
      <w:r w:rsidR="009A0F63">
        <w:t xml:space="preserve">committee </w:t>
      </w:r>
      <w:r>
        <w:t xml:space="preserve">lead and </w:t>
      </w:r>
      <w:r w:rsidR="008917AC">
        <w:t>members</w:t>
      </w:r>
    </w:p>
    <w:p w14:paraId="6BEBB31E" w14:textId="21694362" w:rsidR="009A0F63" w:rsidRDefault="009A0F63" w:rsidP="00970E14">
      <w:pPr>
        <w:pStyle w:val="ListBullet"/>
        <w:jc w:val="both"/>
      </w:pPr>
      <w:r>
        <w:t>Pilot pathway for 3 months prior to publishing on the website (lead and Chair to review regularly)</w:t>
      </w:r>
    </w:p>
    <w:p w14:paraId="51456C3B" w14:textId="73327E6D" w:rsidR="00E9450A" w:rsidRDefault="008917AC" w:rsidP="00970E14">
      <w:pPr>
        <w:pStyle w:val="ListBullet"/>
        <w:jc w:val="both"/>
      </w:pPr>
      <w:r>
        <w:lastRenderedPageBreak/>
        <w:t xml:space="preserve">Integrate the pathway into the </w:t>
      </w:r>
      <w:proofErr w:type="spellStart"/>
      <w:r>
        <w:t>Vidatum</w:t>
      </w:r>
      <w:proofErr w:type="spellEnd"/>
      <w:r>
        <w:t xml:space="preserve"> submission system</w:t>
      </w:r>
    </w:p>
    <w:p w14:paraId="51F1C045" w14:textId="4D2EC8E1" w:rsidR="00E9450A" w:rsidRDefault="008917AC" w:rsidP="00970E14">
      <w:pPr>
        <w:pStyle w:val="ListBullet"/>
        <w:jc w:val="both"/>
      </w:pPr>
      <w:r>
        <w:t>Gather feedback from applicants and reviewers for refinement</w:t>
      </w:r>
    </w:p>
    <w:p w14:paraId="27243A2B" w14:textId="7054CB81" w:rsidR="00E9450A" w:rsidRDefault="008D4DFF">
      <w:pPr>
        <w:pStyle w:val="Heading1"/>
      </w:pPr>
      <w:r>
        <w:t>7</w:t>
      </w:r>
      <w:r w:rsidR="008917AC">
        <w:t>. Governance and Review</w:t>
      </w:r>
    </w:p>
    <w:p w14:paraId="259232F1" w14:textId="7B978630" w:rsidR="00E9450A" w:rsidRDefault="008917AC" w:rsidP="00970E14">
      <w:pPr>
        <w:jc w:val="both"/>
      </w:pPr>
      <w:r>
        <w:t>The REC will oversee the implementation and performance of th</w:t>
      </w:r>
      <w:r w:rsidR="00F26BA5">
        <w:t xml:space="preserve">is alternative </w:t>
      </w:r>
      <w:r w:rsidR="00B16784">
        <w:t>review pathway</w:t>
      </w:r>
      <w:r>
        <w:t>. A formal review will be conducted after six months to assess effectiveness, with revisions implemented as neede</w:t>
      </w:r>
      <w:r w:rsidR="00BA7C16">
        <w:t>d</w:t>
      </w:r>
      <w:r w:rsidR="00764E88">
        <w:t>.</w:t>
      </w:r>
    </w:p>
    <w:p w14:paraId="6AF94526" w14:textId="77777777" w:rsidR="001B3939" w:rsidRPr="003137DA" w:rsidRDefault="001B3939" w:rsidP="003137DA">
      <w:pPr>
        <w:rPr>
          <w:lang w:val="en-IE"/>
        </w:rPr>
      </w:pPr>
    </w:p>
    <w:p w14:paraId="34963BF6" w14:textId="77777777" w:rsidR="001B3939" w:rsidRPr="003137DA" w:rsidRDefault="001B3939" w:rsidP="003137DA">
      <w:pPr>
        <w:rPr>
          <w:lang w:val="en-IE"/>
        </w:rPr>
      </w:pPr>
    </w:p>
    <w:p w14:paraId="118D4213" w14:textId="77777777" w:rsidR="001B3939" w:rsidRPr="003137DA" w:rsidRDefault="001B3939" w:rsidP="003137DA">
      <w:pPr>
        <w:rPr>
          <w:lang w:val="en-IE"/>
        </w:rPr>
      </w:pPr>
    </w:p>
    <w:p w14:paraId="0D126C97" w14:textId="77777777" w:rsidR="001B3939" w:rsidRDefault="001B3939" w:rsidP="001B3939"/>
    <w:p w14:paraId="2837CBEE" w14:textId="77777777" w:rsidR="001B3939" w:rsidRPr="001B3939" w:rsidRDefault="001B3939" w:rsidP="003137DA">
      <w:pPr>
        <w:jc w:val="right"/>
        <w:rPr>
          <w:lang w:val="en-IE"/>
        </w:rPr>
      </w:pPr>
    </w:p>
    <w:sectPr w:rsidR="001B3939" w:rsidRPr="001B3939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3C26A" w14:textId="77777777" w:rsidR="00712089" w:rsidRDefault="00712089" w:rsidP="008D4DFF">
      <w:pPr>
        <w:spacing w:after="0" w:line="240" w:lineRule="auto"/>
      </w:pPr>
      <w:r>
        <w:separator/>
      </w:r>
    </w:p>
  </w:endnote>
  <w:endnote w:type="continuationSeparator" w:id="0">
    <w:p w14:paraId="78731C19" w14:textId="77777777" w:rsidR="00712089" w:rsidRDefault="00712089" w:rsidP="008D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1565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CCFA3" w14:textId="25963584" w:rsidR="008D4DFF" w:rsidRDefault="008D4D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AB43D9" w14:textId="77777777" w:rsidR="008D4DFF" w:rsidRDefault="008D4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8D93D" w14:textId="77777777" w:rsidR="00712089" w:rsidRDefault="00712089" w:rsidP="008D4DFF">
      <w:pPr>
        <w:spacing w:after="0" w:line="240" w:lineRule="auto"/>
      </w:pPr>
      <w:r>
        <w:separator/>
      </w:r>
    </w:p>
  </w:footnote>
  <w:footnote w:type="continuationSeparator" w:id="0">
    <w:p w14:paraId="2C253675" w14:textId="77777777" w:rsidR="00712089" w:rsidRDefault="00712089" w:rsidP="008D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2356" w14:textId="7ADB358B" w:rsidR="008D4DFF" w:rsidRDefault="00970E14" w:rsidP="00970E14">
    <w:pPr>
      <w:pStyle w:val="Header"/>
    </w:pPr>
    <w:r w:rsidRPr="00970E14">
      <w:rPr>
        <w:noProof/>
        <w:lang w:val="en-IE"/>
      </w:rPr>
      <w:drawing>
        <wp:inline distT="0" distB="0" distL="0" distR="0" wp14:anchorId="26CBFA5A" wp14:editId="7592C449">
          <wp:extent cx="1259840" cy="882910"/>
          <wp:effectExtent l="0" t="0" r="0" b="0"/>
          <wp:docPr id="1263446730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446730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293" cy="888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70E14">
      <w:t xml:space="preserve"> </w:t>
    </w:r>
    <w:r>
      <w:t xml:space="preserve">                                                                                          </w:t>
    </w:r>
    <w:r w:rsidRPr="00970E14">
      <w:rPr>
        <w:sz w:val="20"/>
        <w:szCs w:val="20"/>
      </w:rPr>
      <w:t xml:space="preserve">Version </w:t>
    </w:r>
    <w:r w:rsidR="00B16784">
      <w:rPr>
        <w:sz w:val="20"/>
        <w:szCs w:val="20"/>
      </w:rPr>
      <w:t>2</w:t>
    </w:r>
    <w:r w:rsidRPr="00970E14">
      <w:rPr>
        <w:sz w:val="20"/>
        <w:szCs w:val="20"/>
      </w:rPr>
      <w:t xml:space="preserve"> </w:t>
    </w:r>
    <w:r w:rsidR="00B16784">
      <w:rPr>
        <w:sz w:val="20"/>
        <w:szCs w:val="20"/>
      </w:rPr>
      <w:t>08</w:t>
    </w:r>
    <w:r w:rsidRPr="00970E14">
      <w:rPr>
        <w:sz w:val="20"/>
        <w:szCs w:val="20"/>
      </w:rPr>
      <w:t>/1</w:t>
    </w:r>
    <w:r w:rsidR="00B16784">
      <w:rPr>
        <w:sz w:val="20"/>
        <w:szCs w:val="20"/>
      </w:rPr>
      <w:t>2</w:t>
    </w:r>
    <w:r w:rsidRPr="00970E14">
      <w:rPr>
        <w:sz w:val="20"/>
        <w:szCs w:val="20"/>
      </w:rPr>
      <w:t xml:space="preserve">/2025                                                                                                        </w:t>
    </w:r>
  </w:p>
  <w:p w14:paraId="6BDE8203" w14:textId="77777777" w:rsidR="00970E14" w:rsidRDefault="00970E14" w:rsidP="00970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35056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C64014"/>
    <w:multiLevelType w:val="multilevel"/>
    <w:tmpl w:val="105A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F97B9B"/>
    <w:multiLevelType w:val="hybridMultilevel"/>
    <w:tmpl w:val="56CC31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D01A5"/>
    <w:multiLevelType w:val="hybridMultilevel"/>
    <w:tmpl w:val="68BA13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40094"/>
    <w:multiLevelType w:val="hybridMultilevel"/>
    <w:tmpl w:val="CAF8052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794DB4"/>
    <w:multiLevelType w:val="hybridMultilevel"/>
    <w:tmpl w:val="5A9CAA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00CC9"/>
    <w:multiLevelType w:val="hybridMultilevel"/>
    <w:tmpl w:val="38D476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6219A"/>
    <w:multiLevelType w:val="hybridMultilevel"/>
    <w:tmpl w:val="6DAE0D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E3048"/>
    <w:multiLevelType w:val="hybridMultilevel"/>
    <w:tmpl w:val="EBB296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E23C9"/>
    <w:multiLevelType w:val="hybridMultilevel"/>
    <w:tmpl w:val="0108F4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736193">
    <w:abstractNumId w:val="8"/>
  </w:num>
  <w:num w:numId="2" w16cid:durableId="857736628">
    <w:abstractNumId w:val="6"/>
  </w:num>
  <w:num w:numId="3" w16cid:durableId="150953449">
    <w:abstractNumId w:val="5"/>
  </w:num>
  <w:num w:numId="4" w16cid:durableId="583105255">
    <w:abstractNumId w:val="4"/>
  </w:num>
  <w:num w:numId="5" w16cid:durableId="1909462130">
    <w:abstractNumId w:val="7"/>
  </w:num>
  <w:num w:numId="6" w16cid:durableId="477695177">
    <w:abstractNumId w:val="3"/>
  </w:num>
  <w:num w:numId="7" w16cid:durableId="757679981">
    <w:abstractNumId w:val="2"/>
  </w:num>
  <w:num w:numId="8" w16cid:durableId="1284076487">
    <w:abstractNumId w:val="1"/>
  </w:num>
  <w:num w:numId="9" w16cid:durableId="94327547">
    <w:abstractNumId w:val="0"/>
  </w:num>
  <w:num w:numId="10" w16cid:durableId="956133598">
    <w:abstractNumId w:val="16"/>
  </w:num>
  <w:num w:numId="11" w16cid:durableId="504200432">
    <w:abstractNumId w:val="14"/>
  </w:num>
  <w:num w:numId="12" w16cid:durableId="2053916841">
    <w:abstractNumId w:val="12"/>
  </w:num>
  <w:num w:numId="13" w16cid:durableId="1543128009">
    <w:abstractNumId w:val="11"/>
  </w:num>
  <w:num w:numId="14" w16cid:durableId="780564576">
    <w:abstractNumId w:val="10"/>
  </w:num>
  <w:num w:numId="15" w16cid:durableId="201984751">
    <w:abstractNumId w:val="9"/>
  </w:num>
  <w:num w:numId="16" w16cid:durableId="1667901443">
    <w:abstractNumId w:val="15"/>
  </w:num>
  <w:num w:numId="17" w16cid:durableId="1851068556">
    <w:abstractNumId w:val="17"/>
  </w:num>
  <w:num w:numId="18" w16cid:durableId="444662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CA7"/>
    <w:rsid w:val="00034616"/>
    <w:rsid w:val="000352AE"/>
    <w:rsid w:val="00043BB9"/>
    <w:rsid w:val="0006063C"/>
    <w:rsid w:val="00071D78"/>
    <w:rsid w:val="00076F65"/>
    <w:rsid w:val="000D3249"/>
    <w:rsid w:val="000F3C6A"/>
    <w:rsid w:val="00104285"/>
    <w:rsid w:val="001133AC"/>
    <w:rsid w:val="00115554"/>
    <w:rsid w:val="001259A9"/>
    <w:rsid w:val="00132054"/>
    <w:rsid w:val="001339C6"/>
    <w:rsid w:val="001475A6"/>
    <w:rsid w:val="0015074B"/>
    <w:rsid w:val="00163107"/>
    <w:rsid w:val="00171A0D"/>
    <w:rsid w:val="001B3939"/>
    <w:rsid w:val="001E0C88"/>
    <w:rsid w:val="001E6BDB"/>
    <w:rsid w:val="001F1816"/>
    <w:rsid w:val="00202A2C"/>
    <w:rsid w:val="0024771F"/>
    <w:rsid w:val="00256DA2"/>
    <w:rsid w:val="00273A2D"/>
    <w:rsid w:val="00285F68"/>
    <w:rsid w:val="0029639D"/>
    <w:rsid w:val="002C4FC7"/>
    <w:rsid w:val="00300805"/>
    <w:rsid w:val="003137DA"/>
    <w:rsid w:val="00326F90"/>
    <w:rsid w:val="003831D5"/>
    <w:rsid w:val="003D6E71"/>
    <w:rsid w:val="00435949"/>
    <w:rsid w:val="00437858"/>
    <w:rsid w:val="00483350"/>
    <w:rsid w:val="004B7C45"/>
    <w:rsid w:val="004C233E"/>
    <w:rsid w:val="004F5AB0"/>
    <w:rsid w:val="0050616D"/>
    <w:rsid w:val="00571099"/>
    <w:rsid w:val="00620CA8"/>
    <w:rsid w:val="006370AB"/>
    <w:rsid w:val="006375D9"/>
    <w:rsid w:val="00712089"/>
    <w:rsid w:val="00764E88"/>
    <w:rsid w:val="007B7A77"/>
    <w:rsid w:val="007D18E2"/>
    <w:rsid w:val="0082201D"/>
    <w:rsid w:val="008477DB"/>
    <w:rsid w:val="008917AC"/>
    <w:rsid w:val="008927D3"/>
    <w:rsid w:val="008A19A3"/>
    <w:rsid w:val="008B02C1"/>
    <w:rsid w:val="008D4DFF"/>
    <w:rsid w:val="008F5D67"/>
    <w:rsid w:val="00911CC3"/>
    <w:rsid w:val="00951D95"/>
    <w:rsid w:val="00970E14"/>
    <w:rsid w:val="00994D92"/>
    <w:rsid w:val="009A0F63"/>
    <w:rsid w:val="009B1975"/>
    <w:rsid w:val="009E100E"/>
    <w:rsid w:val="00A1403A"/>
    <w:rsid w:val="00A1A49D"/>
    <w:rsid w:val="00A65EB9"/>
    <w:rsid w:val="00A67E29"/>
    <w:rsid w:val="00AA1D8D"/>
    <w:rsid w:val="00AD1518"/>
    <w:rsid w:val="00AE7DB1"/>
    <w:rsid w:val="00B16784"/>
    <w:rsid w:val="00B47730"/>
    <w:rsid w:val="00B56318"/>
    <w:rsid w:val="00BA7C16"/>
    <w:rsid w:val="00BF27FE"/>
    <w:rsid w:val="00C551F5"/>
    <w:rsid w:val="00C84894"/>
    <w:rsid w:val="00CA682B"/>
    <w:rsid w:val="00CB0664"/>
    <w:rsid w:val="00CD62B5"/>
    <w:rsid w:val="00CE3065"/>
    <w:rsid w:val="00CE5679"/>
    <w:rsid w:val="00D42C4F"/>
    <w:rsid w:val="00D4333E"/>
    <w:rsid w:val="00DC49B4"/>
    <w:rsid w:val="00DE083F"/>
    <w:rsid w:val="00DF50E3"/>
    <w:rsid w:val="00E65C17"/>
    <w:rsid w:val="00E7366C"/>
    <w:rsid w:val="00E73CDF"/>
    <w:rsid w:val="00E81495"/>
    <w:rsid w:val="00E8794D"/>
    <w:rsid w:val="00E9450A"/>
    <w:rsid w:val="00EA00B1"/>
    <w:rsid w:val="00F26BA5"/>
    <w:rsid w:val="00F364B3"/>
    <w:rsid w:val="00F668DA"/>
    <w:rsid w:val="00F73ECD"/>
    <w:rsid w:val="00F81322"/>
    <w:rsid w:val="00F91DE8"/>
    <w:rsid w:val="00FB399A"/>
    <w:rsid w:val="00FC693F"/>
    <w:rsid w:val="00FD4197"/>
    <w:rsid w:val="05D54C7F"/>
    <w:rsid w:val="0CEEC8C4"/>
    <w:rsid w:val="0E0BDD07"/>
    <w:rsid w:val="155ABE4B"/>
    <w:rsid w:val="2719F1A3"/>
    <w:rsid w:val="3C074F35"/>
    <w:rsid w:val="40663F27"/>
    <w:rsid w:val="4708A42D"/>
    <w:rsid w:val="4BC21CED"/>
    <w:rsid w:val="4E032184"/>
    <w:rsid w:val="59D5E41E"/>
    <w:rsid w:val="5B0BFCB4"/>
    <w:rsid w:val="6809F9C0"/>
    <w:rsid w:val="6B439A6F"/>
    <w:rsid w:val="6E60E3FF"/>
    <w:rsid w:val="6EE3F56C"/>
    <w:rsid w:val="789887A6"/>
    <w:rsid w:val="7ECA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BF0399"/>
  <w14:defaultImageDpi w14:val="300"/>
  <w15:docId w15:val="{8E08CA83-16F9-41DC-9462-EB2D3A53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51D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D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D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D9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0F63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35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1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8DDA65413BE4CB07F4D05041C6593" ma:contentTypeVersion="16" ma:contentTypeDescription="Create a new document." ma:contentTypeScope="" ma:versionID="31bd1c107de61e186bff42b80d0ead7d">
  <xsd:schema xmlns:xsd="http://www.w3.org/2001/XMLSchema" xmlns:xs="http://www.w3.org/2001/XMLSchema" xmlns:p="http://schemas.microsoft.com/office/2006/metadata/properties" xmlns:ns2="50cd1067-ad5b-4548-a81f-8020061686ae" xmlns:ns3="baa8e23d-dc65-4aa4-b255-c26c0adc0f71" targetNamespace="http://schemas.microsoft.com/office/2006/metadata/properties" ma:root="true" ma:fieldsID="add1effdbc4eceb17b2fd0383d66311e" ns2:_="" ns3:_="">
    <xsd:import namespace="50cd1067-ad5b-4548-a81f-8020061686ae"/>
    <xsd:import namespace="baa8e23d-dc65-4aa4-b255-c26c0adc0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d1067-ad5b-4548-a81f-802006168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b26097-bfaf-4cc3-af83-a872dc9a89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8e23d-dc65-4aa4-b255-c26c0adc0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0f3422-6e4a-483c-bdba-5b89fc64bc2f}" ma:internalName="TaxCatchAll" ma:showField="CatchAllData" ma:web="baa8e23d-dc65-4aa4-b255-c26c0adc0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8e23d-dc65-4aa4-b255-c26c0adc0f71" xsi:nil="true"/>
    <lcf76f155ced4ddcb4097134ff3c332f xmlns="50cd1067-ad5b-4548-a81f-8020061686a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7E401E-7BE5-4672-A4F7-0353F2E11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d1067-ad5b-4548-a81f-8020061686ae"/>
    <ds:schemaRef ds:uri="baa8e23d-dc65-4aa4-b255-c26c0adc0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E442A0-DC2C-49BD-957A-40A624E65575}">
  <ds:schemaRefs>
    <ds:schemaRef ds:uri="http://schemas.microsoft.com/office/2006/metadata/properties"/>
    <ds:schemaRef ds:uri="http://schemas.microsoft.com/office/infopath/2007/PartnerControls"/>
    <ds:schemaRef ds:uri="baa8e23d-dc65-4aa4-b255-c26c0adc0f71"/>
    <ds:schemaRef ds:uri="50cd1067-ad5b-4548-a81f-8020061686ae"/>
  </ds:schemaRefs>
</ds:datastoreItem>
</file>

<file path=customXml/itemProps4.xml><?xml version="1.0" encoding="utf-8"?>
<ds:datastoreItem xmlns:ds="http://schemas.openxmlformats.org/officeDocument/2006/customXml" ds:itemID="{A9A00C4C-0A47-42CA-ACDA-40E0DFFB2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Smith</cp:lastModifiedBy>
  <cp:revision>7</cp:revision>
  <dcterms:created xsi:type="dcterms:W3CDTF">2025-12-08T12:57:00Z</dcterms:created>
  <dcterms:modified xsi:type="dcterms:W3CDTF">2025-12-08T17:08:00Z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0x0101006A18DDA65413BE4CB07F4D05041C6593</vt:lpwstr>
  </property>
</Properties>
</file>