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313" w:rsidRPr="00231A90" w14:paraId="57B05181" w14:textId="77777777" w:rsidTr="002E6AB6">
        <w:tc>
          <w:tcPr>
            <w:tcW w:w="9016" w:type="dxa"/>
            <w:shd w:val="clear" w:color="auto" w:fill="A5C9EB" w:themeFill="text2" w:themeFillTint="40"/>
          </w:tcPr>
          <w:p w14:paraId="0B8DBDA0" w14:textId="618F6A01" w:rsidR="00C86313" w:rsidRPr="00231A90" w:rsidRDefault="00C86313" w:rsidP="00C86313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31A90">
              <w:rPr>
                <w:rFonts w:ascii="Calibri" w:hAnsi="Calibri" w:cs="Calibri"/>
                <w:b/>
                <w:bCs/>
                <w:sz w:val="32"/>
                <w:szCs w:val="32"/>
              </w:rPr>
              <w:t>ICGP Approved Studies 202</w:t>
            </w:r>
            <w:r w:rsidR="00EA7BFE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</w:p>
        </w:tc>
      </w:tr>
      <w:tr w:rsidR="00C86313" w:rsidRPr="00231A90" w14:paraId="336A1D39" w14:textId="77777777" w:rsidTr="002E6AB6">
        <w:tc>
          <w:tcPr>
            <w:tcW w:w="9016" w:type="dxa"/>
            <w:shd w:val="clear" w:color="auto" w:fill="DAE9F7" w:themeFill="text2" w:themeFillTint="1A"/>
          </w:tcPr>
          <w:p w14:paraId="2233AC6A" w14:textId="0A5ABE1E" w:rsidR="00C86313" w:rsidRPr="00231A90" w:rsidRDefault="00C86313" w:rsidP="00C8631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31A90">
              <w:rPr>
                <w:rFonts w:ascii="Calibri" w:hAnsi="Calibri" w:cs="Calibri"/>
                <w:b/>
                <w:bCs/>
                <w:sz w:val="28"/>
                <w:szCs w:val="28"/>
              </w:rPr>
              <w:t>Study Title</w:t>
            </w:r>
          </w:p>
        </w:tc>
      </w:tr>
      <w:tr w:rsidR="00EA7BFE" w:rsidRPr="00231A90" w14:paraId="77A9C354" w14:textId="77777777" w:rsidTr="00FD76FD">
        <w:tc>
          <w:tcPr>
            <w:tcW w:w="9016" w:type="dxa"/>
          </w:tcPr>
          <w:p w14:paraId="08EFEED3" w14:textId="7C127003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E2BCC">
              <w:t>Perceptions of Glucagon-like peptide-1 (GLP-1) receptor agonist use for the treatment of obesity amongst Irish Primary Care Providers.</w:t>
            </w:r>
          </w:p>
        </w:tc>
      </w:tr>
      <w:tr w:rsidR="00EA7BFE" w:rsidRPr="00231A90" w14:paraId="06E792EF" w14:textId="77777777" w:rsidTr="00FD76FD">
        <w:tc>
          <w:tcPr>
            <w:tcW w:w="9016" w:type="dxa"/>
          </w:tcPr>
          <w:p w14:paraId="46B773F0" w14:textId="6A60168D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E2BCC">
              <w:t>Guiding the Journey: A Qualitative Exploration of Tutors' Role in Continuing Medical Education in General Practice</w:t>
            </w:r>
          </w:p>
        </w:tc>
      </w:tr>
      <w:tr w:rsidR="00EA7BFE" w:rsidRPr="00231A90" w14:paraId="026CF4CF" w14:textId="77777777" w:rsidTr="00FD76FD">
        <w:tc>
          <w:tcPr>
            <w:tcW w:w="9016" w:type="dxa"/>
          </w:tcPr>
          <w:p w14:paraId="7CFC9F01" w14:textId="034E1BFB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E2BCC">
              <w:t>Non-melanoma skin cancer (NMSC) - GP’s experience of using current referral pathways in Cork.</w:t>
            </w:r>
          </w:p>
        </w:tc>
      </w:tr>
      <w:tr w:rsidR="00C86313" w:rsidRPr="00231A90" w14:paraId="397F748F" w14:textId="77777777" w:rsidTr="008E01C2">
        <w:tc>
          <w:tcPr>
            <w:tcW w:w="9016" w:type="dxa"/>
            <w:vAlign w:val="bottom"/>
          </w:tcPr>
          <w:p w14:paraId="015BCACB" w14:textId="3BB55891" w:rsidR="00C86313" w:rsidRPr="00231A90" w:rsidRDefault="00EA7BFE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A7BFE">
              <w:rPr>
                <w:rFonts w:ascii="Calibri" w:hAnsi="Calibri" w:cs="Calibri"/>
                <w:color w:val="000000"/>
                <w:sz w:val="24"/>
                <w:szCs w:val="24"/>
              </w:rPr>
              <w:t>The use of GLP-1 receptor agonists for weight management within General practice in Ireland</w:t>
            </w:r>
          </w:p>
        </w:tc>
      </w:tr>
      <w:tr w:rsidR="00EA7BFE" w:rsidRPr="00231A90" w14:paraId="14F123A9" w14:textId="77777777" w:rsidTr="003C7402">
        <w:tc>
          <w:tcPr>
            <w:tcW w:w="9016" w:type="dxa"/>
          </w:tcPr>
          <w:p w14:paraId="57633B92" w14:textId="4AB9409A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20B34">
              <w:t>Chronicdisease</w:t>
            </w:r>
            <w:proofErr w:type="spellEnd"/>
            <w:r w:rsidRPr="00220B34">
              <w:t xml:space="preserve"> management in Irish General Practice (2019 vs 2024): A </w:t>
            </w:r>
            <w:proofErr w:type="spellStart"/>
            <w:r w:rsidRPr="00220B34">
              <w:t>retrospectiveaudit</w:t>
            </w:r>
            <w:proofErr w:type="spellEnd"/>
            <w:r w:rsidRPr="00220B34">
              <w:t xml:space="preserve"> of public and private patient records</w:t>
            </w:r>
          </w:p>
        </w:tc>
      </w:tr>
      <w:tr w:rsidR="00EA7BFE" w:rsidRPr="00231A90" w14:paraId="264FD42B" w14:textId="77777777" w:rsidTr="003C7402">
        <w:tc>
          <w:tcPr>
            <w:tcW w:w="9016" w:type="dxa"/>
          </w:tcPr>
          <w:p w14:paraId="3624369C" w14:textId="3FF02192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0B34">
              <w:t>Exploration of the Content and Potential Educational Value Associated with Instant Messaging Applications (IMA) Between GP Trainers and GP Trainees in the Workplace</w:t>
            </w:r>
          </w:p>
        </w:tc>
      </w:tr>
      <w:tr w:rsidR="00EA7BFE" w:rsidRPr="00231A90" w14:paraId="0E029ED6" w14:textId="77777777" w:rsidTr="00AC086D">
        <w:tc>
          <w:tcPr>
            <w:tcW w:w="9016" w:type="dxa"/>
          </w:tcPr>
          <w:p w14:paraId="7D99BD5D" w14:textId="210D6EC0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4D1">
              <w:t>Evaluating the Impact of Simulation-Based Training on GP Trainees’ Clinical Decision-Making and Confidence in Primary Care Scenarios</w:t>
            </w:r>
          </w:p>
        </w:tc>
      </w:tr>
      <w:tr w:rsidR="00EA7BFE" w:rsidRPr="00231A90" w14:paraId="07CDBA40" w14:textId="77777777" w:rsidTr="00AC086D">
        <w:tc>
          <w:tcPr>
            <w:tcW w:w="9016" w:type="dxa"/>
          </w:tcPr>
          <w:p w14:paraId="700B97DC" w14:textId="18501113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4D1">
              <w:t>Managing paediatric allergy in general practice; identifying the education needs of GPs in Ireland.</w:t>
            </w:r>
          </w:p>
        </w:tc>
      </w:tr>
      <w:tr w:rsidR="00EA7BFE" w:rsidRPr="00231A90" w14:paraId="74D1C1F2" w14:textId="77777777" w:rsidTr="00AC086D">
        <w:tc>
          <w:tcPr>
            <w:tcW w:w="9016" w:type="dxa"/>
          </w:tcPr>
          <w:p w14:paraId="0CDF7D2C" w14:textId="52ABBA0D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4D1">
              <w:t>Psychological wellbeing of people living with inherited retinal degenerations</w:t>
            </w:r>
          </w:p>
        </w:tc>
      </w:tr>
      <w:tr w:rsidR="002E6AB6" w:rsidRPr="00231A90" w14:paraId="0A321626" w14:textId="77777777" w:rsidTr="00AC086D">
        <w:tc>
          <w:tcPr>
            <w:tcW w:w="9016" w:type="dxa"/>
          </w:tcPr>
          <w:p w14:paraId="5C42CFFD" w14:textId="19EEF7B7" w:rsidR="002E6AB6" w:rsidRPr="00231A90" w:rsidRDefault="00EA7BFE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A7BFE">
              <w:rPr>
                <w:rFonts w:ascii="Calibri" w:hAnsi="Calibri" w:cs="Calibri"/>
                <w:color w:val="000000"/>
                <w:sz w:val="24"/>
                <w:szCs w:val="24"/>
              </w:rPr>
              <w:t>International Medical Graduates and the MICGP Clinical Competency Test - the Examiners</w:t>
            </w:r>
          </w:p>
        </w:tc>
      </w:tr>
      <w:tr w:rsidR="00EA7BFE" w:rsidRPr="00231A90" w14:paraId="5814524F" w14:textId="77777777" w:rsidTr="00AC086D">
        <w:tc>
          <w:tcPr>
            <w:tcW w:w="9016" w:type="dxa"/>
          </w:tcPr>
          <w:p w14:paraId="10BA59D1" w14:textId="637A88DE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55A">
              <w:t>GP Insights: Understanding Irish General Practice Through EMR Data</w:t>
            </w:r>
          </w:p>
        </w:tc>
      </w:tr>
      <w:tr w:rsidR="00EA7BFE" w:rsidRPr="00231A90" w14:paraId="67E6A1B6" w14:textId="77777777" w:rsidTr="00AC086D">
        <w:tc>
          <w:tcPr>
            <w:tcW w:w="9016" w:type="dxa"/>
          </w:tcPr>
          <w:p w14:paraId="74B1E68D" w14:textId="6EE19805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55A">
              <w:t>Evaluating the small group continuing medical education meeting on "Consultation skills in Managing Requests for Antibiotics", a mixed methods study</w:t>
            </w:r>
          </w:p>
        </w:tc>
      </w:tr>
      <w:tr w:rsidR="00EA7BFE" w:rsidRPr="00231A90" w14:paraId="6E057B9F" w14:textId="77777777" w:rsidTr="00AC086D">
        <w:tc>
          <w:tcPr>
            <w:tcW w:w="9016" w:type="dxa"/>
          </w:tcPr>
          <w:p w14:paraId="68751076" w14:textId="5F91DCD1" w:rsidR="00EA7BFE" w:rsidRPr="00231A90" w:rsidRDefault="00EA7BFE" w:rsidP="00EA7BFE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55A">
              <w:t>Integrating Artificial Intelligence and Medical Technology into higher specialist training in General Practice; A Curriculum Development Initiative</w:t>
            </w:r>
          </w:p>
        </w:tc>
      </w:tr>
    </w:tbl>
    <w:p w14:paraId="3E2B7807" w14:textId="25A3AFBB" w:rsidR="00923831" w:rsidRPr="00231A90" w:rsidRDefault="00923831" w:rsidP="00C86313">
      <w:pPr>
        <w:jc w:val="center"/>
        <w:rPr>
          <w:rFonts w:ascii="Calibri" w:hAnsi="Calibri" w:cs="Calibri"/>
          <w:sz w:val="28"/>
          <w:szCs w:val="28"/>
        </w:rPr>
      </w:pPr>
    </w:p>
    <w:sectPr w:rsidR="00923831" w:rsidRPr="0023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3"/>
    <w:rsid w:val="00231A90"/>
    <w:rsid w:val="002E6AB6"/>
    <w:rsid w:val="00576E7C"/>
    <w:rsid w:val="005E069F"/>
    <w:rsid w:val="00923831"/>
    <w:rsid w:val="00A35CBA"/>
    <w:rsid w:val="00C86313"/>
    <w:rsid w:val="00E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1765"/>
  <w15:chartTrackingRefBased/>
  <w15:docId w15:val="{87F05550-9D18-4B4B-A21E-301C880E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41">
    <w:name w:val="font441"/>
    <w:basedOn w:val="DefaultParagraphFont"/>
    <w:rsid w:val="00C86313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Hyperlink">
    <w:name w:val="Hyperlink"/>
    <w:basedOn w:val="DefaultParagraphFont"/>
    <w:uiPriority w:val="99"/>
    <w:semiHidden/>
    <w:unhideWhenUsed/>
    <w:rsid w:val="002E6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Smith</dc:creator>
  <cp:keywords/>
  <dc:description/>
  <cp:lastModifiedBy>Emma Smith</cp:lastModifiedBy>
  <cp:revision>4</cp:revision>
  <dcterms:created xsi:type="dcterms:W3CDTF">2024-03-04T13:10:00Z</dcterms:created>
  <dcterms:modified xsi:type="dcterms:W3CDTF">2025-09-09T15:11:00Z</dcterms:modified>
</cp:coreProperties>
</file>