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D5" w:rsidRPr="000912D5" w:rsidRDefault="00FC55D5" w:rsidP="000912D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B6596">
        <w:rPr>
          <w:noProof/>
        </w:rPr>
        <w:drawing>
          <wp:anchor distT="0" distB="0" distL="114300" distR="114300" simplePos="0" relativeHeight="251660296" behindDoc="1" locked="0" layoutInCell="1" allowOverlap="1" wp14:anchorId="7DB61A2B" wp14:editId="174F4B06">
            <wp:simplePos x="0" y="0"/>
            <wp:positionH relativeFrom="page">
              <wp:align>center</wp:align>
            </wp:positionH>
            <wp:positionV relativeFrom="paragraph">
              <wp:posOffset>-5522</wp:posOffset>
            </wp:positionV>
            <wp:extent cx="8079475" cy="106936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475" cy="10693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DC7" w:rsidRPr="007A1DC7">
        <w:rPr>
          <w:noProof/>
        </w:rPr>
        <w:drawing>
          <wp:inline distT="0" distB="0" distL="0" distR="0">
            <wp:extent cx="2526273" cy="743803"/>
            <wp:effectExtent l="0" t="0" r="7620" b="0"/>
            <wp:docPr id="3" name="Picture 3" descr="G:\All Staff\DCEDIY Mai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l Staff\DCEDIY Main 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744" cy="756308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D5" w:rsidRPr="000912D5" w:rsidRDefault="000912D5" w:rsidP="000912D5">
      <w:pPr>
        <w:spacing w:after="0" w:line="259" w:lineRule="auto"/>
        <w:ind w:left="0" w:firstLine="0"/>
        <w:jc w:val="both"/>
        <w:rPr>
          <w:rFonts w:asciiTheme="minorHAnsi" w:hAnsiTheme="minorHAnsi" w:cstheme="minorHAnsi"/>
        </w:rPr>
      </w:pPr>
    </w:p>
    <w:p w:rsidR="000912D5" w:rsidRPr="000912D5" w:rsidRDefault="000912D5" w:rsidP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</w:p>
    <w:p w:rsidR="000912D5" w:rsidRPr="000912D5" w:rsidRDefault="000912D5" w:rsidP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0912D5" w:rsidRPr="000912D5" w:rsidRDefault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0912D5" w:rsidRPr="000912D5" w:rsidRDefault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0912D5" w:rsidRPr="000912D5" w:rsidRDefault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</w:p>
    <w:p w:rsidR="000912D5" w:rsidRPr="000912D5" w:rsidRDefault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</w:rPr>
      </w:pPr>
    </w:p>
    <w:p w:rsidR="000912D5" w:rsidRPr="000912D5" w:rsidRDefault="000912D5" w:rsidP="00BD284A">
      <w:pPr>
        <w:spacing w:after="0" w:line="259" w:lineRule="auto"/>
        <w:ind w:left="284" w:right="53" w:firstLine="0"/>
        <w:rPr>
          <w:rFonts w:asciiTheme="minorHAnsi" w:hAnsiTheme="minorHAnsi" w:cstheme="minorHAnsi"/>
        </w:rPr>
      </w:pPr>
    </w:p>
    <w:p w:rsidR="000912D5" w:rsidRPr="000912D5" w:rsidRDefault="000912D5" w:rsidP="00BD284A">
      <w:pPr>
        <w:spacing w:after="0" w:line="259" w:lineRule="auto"/>
        <w:ind w:left="284" w:right="53" w:firstLine="0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0912D5" w:rsidRPr="000912D5" w:rsidRDefault="000912D5" w:rsidP="00BD284A">
      <w:pPr>
        <w:spacing w:after="0" w:line="259" w:lineRule="auto"/>
        <w:ind w:left="284" w:right="53" w:firstLine="0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0912D5" w:rsidRPr="00FC55D5" w:rsidRDefault="000912D5" w:rsidP="00FC55D5">
      <w:pPr>
        <w:spacing w:after="0" w:line="259" w:lineRule="auto"/>
        <w:ind w:left="284" w:right="53" w:firstLine="0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  <w:r w:rsidR="00FC55D5">
        <w:rPr>
          <w:rFonts w:asciiTheme="minorHAnsi" w:hAnsiTheme="minorHAnsi" w:cstheme="minorHAnsi"/>
          <w:b/>
          <w:color w:val="006650"/>
          <w:sz w:val="56"/>
          <w:szCs w:val="56"/>
        </w:rPr>
        <w:t>Pregnancy Related Transfer Requests</w:t>
      </w:r>
    </w:p>
    <w:p w:rsidR="00463E19" w:rsidRPr="00463E19" w:rsidRDefault="00463E19" w:rsidP="00BD284A">
      <w:pPr>
        <w:spacing w:after="0" w:line="259" w:lineRule="auto"/>
        <w:ind w:left="284" w:right="163" w:firstLine="0"/>
        <w:rPr>
          <w:rFonts w:asciiTheme="minorHAnsi" w:hAnsiTheme="minorHAnsi" w:cstheme="minorHAnsi"/>
          <w:b/>
          <w:color w:val="006650"/>
          <w:sz w:val="56"/>
          <w:szCs w:val="56"/>
        </w:rPr>
      </w:pPr>
    </w:p>
    <w:p w:rsidR="00463E19" w:rsidRPr="00463E19" w:rsidRDefault="00FC55D5" w:rsidP="00BD284A">
      <w:pPr>
        <w:spacing w:after="0" w:line="259" w:lineRule="auto"/>
        <w:ind w:left="284" w:right="163" w:firstLine="0"/>
        <w:rPr>
          <w:rFonts w:asciiTheme="minorHAnsi" w:hAnsiTheme="minorHAnsi" w:cstheme="minorHAnsi"/>
          <w:color w:val="006650"/>
          <w:sz w:val="40"/>
          <w:szCs w:val="40"/>
        </w:rPr>
      </w:pPr>
      <w:r>
        <w:rPr>
          <w:rFonts w:asciiTheme="minorHAnsi" w:hAnsiTheme="minorHAnsi" w:cstheme="minorHAnsi"/>
          <w:b/>
          <w:color w:val="006650"/>
          <w:sz w:val="40"/>
          <w:szCs w:val="40"/>
        </w:rPr>
        <w:t>Current IPAS residents</w:t>
      </w:r>
    </w:p>
    <w:p w:rsidR="000912D5" w:rsidRPr="000912D5" w:rsidRDefault="000912D5" w:rsidP="00BD284A">
      <w:pPr>
        <w:spacing w:after="0" w:line="259" w:lineRule="auto"/>
        <w:ind w:left="284" w:right="53" w:firstLine="0"/>
        <w:rPr>
          <w:rFonts w:asciiTheme="minorHAnsi" w:hAnsiTheme="minorHAnsi" w:cstheme="minorHAnsi"/>
          <w:color w:val="006650"/>
        </w:rPr>
      </w:pPr>
      <w:r w:rsidRPr="000912D5">
        <w:rPr>
          <w:rFonts w:asciiTheme="minorHAnsi" w:hAnsiTheme="minorHAnsi" w:cstheme="minorHAnsi"/>
          <w:b/>
          <w:color w:val="006650"/>
          <w:sz w:val="48"/>
        </w:rPr>
        <w:t xml:space="preserve"> </w:t>
      </w: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50545B">
      <w:pPr>
        <w:spacing w:after="160" w:line="259" w:lineRule="auto"/>
        <w:ind w:left="284" w:firstLine="0"/>
        <w:jc w:val="center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Default="00BD284A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24"/>
          <w:szCs w:val="24"/>
        </w:rPr>
      </w:pPr>
    </w:p>
    <w:p w:rsidR="00BD284A" w:rsidRPr="00885502" w:rsidRDefault="00BD284A" w:rsidP="00BD284A">
      <w:pPr>
        <w:spacing w:after="0"/>
        <w:ind w:left="426" w:right="161"/>
        <w:rPr>
          <w:rFonts w:cstheme="minorHAnsi"/>
          <w:color w:val="FFFFFF" w:themeColor="background1"/>
          <w:sz w:val="24"/>
          <w:szCs w:val="24"/>
        </w:rPr>
      </w:pPr>
      <w:r w:rsidRPr="00885502">
        <w:rPr>
          <w:rFonts w:cstheme="minorHAnsi"/>
          <w:color w:val="FFFFFF" w:themeColor="background1"/>
          <w:sz w:val="24"/>
          <w:szCs w:val="24"/>
        </w:rPr>
        <w:t>Prepared by the Department of</w:t>
      </w:r>
    </w:p>
    <w:p w:rsidR="00BD284A" w:rsidRPr="00885502" w:rsidRDefault="00BD284A" w:rsidP="00BD284A">
      <w:pPr>
        <w:spacing w:after="0"/>
        <w:ind w:left="426" w:right="161"/>
        <w:rPr>
          <w:rFonts w:cstheme="minorHAnsi"/>
          <w:color w:val="FFFFFF" w:themeColor="background1"/>
          <w:sz w:val="24"/>
          <w:szCs w:val="24"/>
        </w:rPr>
      </w:pPr>
      <w:r w:rsidRPr="00885502">
        <w:rPr>
          <w:rFonts w:cstheme="minorHAnsi"/>
          <w:color w:val="FFFFFF" w:themeColor="background1"/>
          <w:sz w:val="24"/>
          <w:szCs w:val="24"/>
        </w:rPr>
        <w:t>Children</w:t>
      </w:r>
      <w:r w:rsidR="007A1DC7">
        <w:rPr>
          <w:rFonts w:cstheme="minorHAnsi"/>
          <w:color w:val="FFFFFF" w:themeColor="background1"/>
          <w:sz w:val="24"/>
          <w:szCs w:val="24"/>
        </w:rPr>
        <w:t xml:space="preserve">, Equality, Disability, </w:t>
      </w:r>
      <w:r w:rsidRPr="00885502">
        <w:rPr>
          <w:rFonts w:cstheme="minorHAnsi"/>
          <w:color w:val="FFFFFF" w:themeColor="background1"/>
          <w:sz w:val="24"/>
          <w:szCs w:val="24"/>
        </w:rPr>
        <w:t xml:space="preserve"> </w:t>
      </w:r>
      <w:r w:rsidR="007A1DC7">
        <w:rPr>
          <w:rFonts w:cstheme="minorHAnsi"/>
          <w:color w:val="FFFFFF" w:themeColor="background1"/>
          <w:sz w:val="24"/>
          <w:szCs w:val="24"/>
        </w:rPr>
        <w:t>Integration and Youth</w:t>
      </w:r>
    </w:p>
    <w:p w:rsidR="00BD284A" w:rsidRPr="00885502" w:rsidRDefault="00BD284A" w:rsidP="00BD284A">
      <w:pPr>
        <w:spacing w:after="0"/>
        <w:ind w:left="426" w:right="161"/>
        <w:rPr>
          <w:rFonts w:cstheme="minorHAnsi"/>
          <w:color w:val="FFFFFF" w:themeColor="background1"/>
          <w:sz w:val="24"/>
          <w:szCs w:val="24"/>
        </w:rPr>
      </w:pPr>
      <w:r w:rsidRPr="00885502">
        <w:rPr>
          <w:rFonts w:cstheme="minorHAnsi"/>
          <w:color w:val="FFFFFF" w:themeColor="background1"/>
          <w:sz w:val="24"/>
          <w:szCs w:val="24"/>
        </w:rPr>
        <w:t>gov.ie</w:t>
      </w:r>
    </w:p>
    <w:p w:rsidR="00303360" w:rsidRDefault="00303360" w:rsidP="00BD284A">
      <w:pPr>
        <w:spacing w:after="160" w:line="259" w:lineRule="auto"/>
        <w:ind w:left="284" w:firstLine="0"/>
        <w:rPr>
          <w:rFonts w:asciiTheme="minorHAnsi" w:hAnsiTheme="minorHAnsi" w:cstheme="minorHAnsi"/>
          <w:b/>
          <w:color w:val="006650"/>
          <w:sz w:val="48"/>
        </w:rPr>
      </w:pPr>
      <w:r>
        <w:rPr>
          <w:rFonts w:asciiTheme="minorHAnsi" w:hAnsiTheme="minorHAnsi" w:cstheme="minorHAnsi"/>
          <w:b/>
          <w:color w:val="006650"/>
          <w:sz w:val="48"/>
        </w:rPr>
        <w:br w:type="page"/>
      </w:r>
    </w:p>
    <w:p w:rsidR="000912D5" w:rsidRPr="000912D5" w:rsidRDefault="000912D5">
      <w:pPr>
        <w:spacing w:after="0" w:line="259" w:lineRule="auto"/>
        <w:ind w:left="0" w:right="163" w:firstLine="0"/>
        <w:jc w:val="center"/>
        <w:rPr>
          <w:rFonts w:asciiTheme="minorHAnsi" w:hAnsiTheme="minorHAnsi" w:cstheme="minorHAnsi"/>
          <w:color w:val="006650"/>
        </w:rPr>
      </w:pPr>
    </w:p>
    <w:p w:rsidR="00D63FFB" w:rsidRDefault="00D63FFB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  <w:b/>
          <w:color w:val="006666"/>
          <w:sz w:val="48"/>
        </w:rPr>
      </w:pPr>
    </w:p>
    <w:p w:rsidR="00D63FFB" w:rsidRDefault="00D63FFB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  <w:b/>
          <w:color w:val="006666"/>
          <w:sz w:val="48"/>
        </w:rPr>
      </w:pPr>
    </w:p>
    <w:p w:rsidR="000912D5" w:rsidRPr="000912D5" w:rsidRDefault="000912D5">
      <w:pPr>
        <w:spacing w:after="0" w:line="259" w:lineRule="auto"/>
        <w:ind w:left="0" w:right="53" w:firstLine="0"/>
        <w:jc w:val="center"/>
        <w:rPr>
          <w:rFonts w:asciiTheme="minorHAnsi" w:hAnsiTheme="minorHAnsi" w:cstheme="minorHAnsi"/>
          <w:color w:val="006666"/>
        </w:rPr>
      </w:pPr>
      <w:r w:rsidRPr="000912D5">
        <w:rPr>
          <w:rFonts w:asciiTheme="minorHAnsi" w:hAnsiTheme="minorHAnsi" w:cstheme="minorHAnsi"/>
          <w:b/>
          <w:color w:val="006666"/>
          <w:sz w:val="48"/>
        </w:rPr>
        <w:t xml:space="preserve"> </w:t>
      </w:r>
    </w:p>
    <w:sdt>
      <w:sdtPr>
        <w:rPr>
          <w:rFonts w:asciiTheme="minorHAnsi" w:hAnsiTheme="minorHAnsi" w:cstheme="minorHAnsi"/>
        </w:rPr>
        <w:id w:val="-1617440892"/>
        <w:docPartObj>
          <w:docPartGallery w:val="Table of Contents"/>
        </w:docPartObj>
      </w:sdtPr>
      <w:sdtEndPr/>
      <w:sdtContent>
        <w:p w:rsidR="001A6D47" w:rsidRPr="00D63FFB" w:rsidRDefault="00CA1765" w:rsidP="000912D5">
          <w:pPr>
            <w:spacing w:after="0" w:line="269" w:lineRule="auto"/>
            <w:ind w:left="0" w:firstLine="0"/>
            <w:rPr>
              <w:rFonts w:asciiTheme="minorHAnsi" w:hAnsiTheme="minorHAnsi" w:cstheme="minorHAnsi"/>
              <w:color w:val="006650"/>
              <w:sz w:val="28"/>
            </w:rPr>
          </w:pPr>
          <w:r w:rsidRPr="00D63FFB">
            <w:rPr>
              <w:rFonts w:asciiTheme="minorHAnsi" w:eastAsia="Cambria" w:hAnsiTheme="minorHAnsi" w:cstheme="minorHAnsi"/>
              <w:b/>
              <w:color w:val="006650"/>
              <w:sz w:val="36"/>
            </w:rPr>
            <w:t xml:space="preserve">Table of Contents </w:t>
          </w:r>
        </w:p>
        <w:p w:rsidR="001929A9" w:rsidRDefault="00CA1765">
          <w:pPr>
            <w:pStyle w:val="TOC1"/>
            <w:tabs>
              <w:tab w:val="left" w:pos="440"/>
              <w:tab w:val="right" w:leader="dot" w:pos="9382"/>
            </w:tabs>
            <w:rPr>
              <w:noProof/>
            </w:rPr>
          </w:pPr>
          <w:r w:rsidRPr="00D63FFB">
            <w:rPr>
              <w:rFonts w:asciiTheme="minorHAnsi" w:hAnsiTheme="minorHAnsi" w:cstheme="minorHAnsi"/>
              <w:sz w:val="28"/>
            </w:rPr>
            <w:t xml:space="preserve"> </w:t>
          </w:r>
          <w:r w:rsidRPr="00D63FFB">
            <w:rPr>
              <w:rFonts w:asciiTheme="minorHAnsi" w:hAnsiTheme="minorHAnsi" w:cstheme="minorHAnsi"/>
              <w:sz w:val="28"/>
            </w:rPr>
            <w:fldChar w:fldCharType="begin"/>
          </w:r>
          <w:r w:rsidRPr="00D63FFB">
            <w:rPr>
              <w:rFonts w:asciiTheme="minorHAnsi" w:hAnsiTheme="minorHAnsi" w:cstheme="minorHAnsi"/>
              <w:sz w:val="28"/>
            </w:rPr>
            <w:instrText xml:space="preserve"> TOC \o "1-2" \h \z \u </w:instrText>
          </w:r>
          <w:r w:rsidRPr="00D63FFB">
            <w:rPr>
              <w:rFonts w:asciiTheme="minorHAnsi" w:hAnsiTheme="minorHAnsi" w:cstheme="minorHAnsi"/>
              <w:sz w:val="28"/>
            </w:rPr>
            <w:fldChar w:fldCharType="separate"/>
          </w:r>
        </w:p>
        <w:p w:rsidR="001929A9" w:rsidRDefault="002A6F58">
          <w:pPr>
            <w:pStyle w:val="TO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74084824" w:history="1">
            <w:r w:rsidR="001929A9" w:rsidRPr="00AD00BD">
              <w:rPr>
                <w:rStyle w:val="Hyperlink"/>
                <w:noProof/>
              </w:rPr>
              <w:t>Rationale</w:t>
            </w:r>
            <w:r w:rsidR="001929A9">
              <w:rPr>
                <w:noProof/>
                <w:webHidden/>
              </w:rPr>
              <w:tab/>
            </w:r>
            <w:r w:rsidR="001929A9">
              <w:rPr>
                <w:noProof/>
                <w:webHidden/>
              </w:rPr>
              <w:fldChar w:fldCharType="begin"/>
            </w:r>
            <w:r w:rsidR="001929A9">
              <w:rPr>
                <w:noProof/>
                <w:webHidden/>
              </w:rPr>
              <w:instrText xml:space="preserve"> PAGEREF _Toc174084824 \h </w:instrText>
            </w:r>
            <w:r w:rsidR="001929A9">
              <w:rPr>
                <w:noProof/>
                <w:webHidden/>
              </w:rPr>
            </w:r>
            <w:r w:rsidR="001929A9">
              <w:rPr>
                <w:noProof/>
                <w:webHidden/>
              </w:rPr>
              <w:fldChar w:fldCharType="separate"/>
            </w:r>
            <w:r w:rsidR="001929A9">
              <w:rPr>
                <w:noProof/>
                <w:webHidden/>
              </w:rPr>
              <w:t>3</w:t>
            </w:r>
            <w:r w:rsidR="001929A9">
              <w:rPr>
                <w:noProof/>
                <w:webHidden/>
              </w:rPr>
              <w:fldChar w:fldCharType="end"/>
            </w:r>
          </w:hyperlink>
        </w:p>
        <w:p w:rsidR="001929A9" w:rsidRDefault="002A6F58">
          <w:pPr>
            <w:pStyle w:val="TO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74084825" w:history="1">
            <w:r w:rsidR="001929A9" w:rsidRPr="00AD00BD">
              <w:rPr>
                <w:rStyle w:val="Hyperlink"/>
                <w:noProof/>
              </w:rPr>
              <w:t>Relevant resident scenarios</w:t>
            </w:r>
            <w:r w:rsidR="001929A9">
              <w:rPr>
                <w:noProof/>
                <w:webHidden/>
              </w:rPr>
              <w:tab/>
            </w:r>
            <w:r w:rsidR="001929A9">
              <w:rPr>
                <w:noProof/>
                <w:webHidden/>
              </w:rPr>
              <w:fldChar w:fldCharType="begin"/>
            </w:r>
            <w:r w:rsidR="001929A9">
              <w:rPr>
                <w:noProof/>
                <w:webHidden/>
              </w:rPr>
              <w:instrText xml:space="preserve"> PAGEREF _Toc174084825 \h </w:instrText>
            </w:r>
            <w:r w:rsidR="001929A9">
              <w:rPr>
                <w:noProof/>
                <w:webHidden/>
              </w:rPr>
            </w:r>
            <w:r w:rsidR="001929A9">
              <w:rPr>
                <w:noProof/>
                <w:webHidden/>
              </w:rPr>
              <w:fldChar w:fldCharType="separate"/>
            </w:r>
            <w:r w:rsidR="001929A9">
              <w:rPr>
                <w:noProof/>
                <w:webHidden/>
              </w:rPr>
              <w:t>3</w:t>
            </w:r>
            <w:r w:rsidR="001929A9">
              <w:rPr>
                <w:noProof/>
                <w:webHidden/>
              </w:rPr>
              <w:fldChar w:fldCharType="end"/>
            </w:r>
          </w:hyperlink>
        </w:p>
        <w:p w:rsidR="001929A9" w:rsidRDefault="002A6F58">
          <w:pPr>
            <w:pStyle w:val="TO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74084826" w:history="1">
            <w:r w:rsidR="001929A9" w:rsidRPr="00AD00BD">
              <w:rPr>
                <w:rStyle w:val="Hyperlink"/>
                <w:noProof/>
              </w:rPr>
              <w:t>Transfer Guidelines</w:t>
            </w:r>
            <w:r w:rsidR="001929A9">
              <w:rPr>
                <w:noProof/>
                <w:webHidden/>
              </w:rPr>
              <w:tab/>
            </w:r>
            <w:r w:rsidR="001929A9">
              <w:rPr>
                <w:noProof/>
                <w:webHidden/>
              </w:rPr>
              <w:fldChar w:fldCharType="begin"/>
            </w:r>
            <w:r w:rsidR="001929A9">
              <w:rPr>
                <w:noProof/>
                <w:webHidden/>
              </w:rPr>
              <w:instrText xml:space="preserve"> PAGEREF _Toc174084826 \h </w:instrText>
            </w:r>
            <w:r w:rsidR="001929A9">
              <w:rPr>
                <w:noProof/>
                <w:webHidden/>
              </w:rPr>
            </w:r>
            <w:r w:rsidR="001929A9">
              <w:rPr>
                <w:noProof/>
                <w:webHidden/>
              </w:rPr>
              <w:fldChar w:fldCharType="separate"/>
            </w:r>
            <w:r w:rsidR="001929A9">
              <w:rPr>
                <w:noProof/>
                <w:webHidden/>
              </w:rPr>
              <w:t>3</w:t>
            </w:r>
            <w:r w:rsidR="001929A9">
              <w:rPr>
                <w:noProof/>
                <w:webHidden/>
              </w:rPr>
              <w:fldChar w:fldCharType="end"/>
            </w:r>
          </w:hyperlink>
        </w:p>
        <w:p w:rsidR="001929A9" w:rsidRDefault="002A6F58">
          <w:pPr>
            <w:pStyle w:val="TO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74084827" w:history="1">
            <w:r w:rsidR="001929A9" w:rsidRPr="00AD00BD">
              <w:rPr>
                <w:rStyle w:val="Hyperlink"/>
                <w:noProof/>
              </w:rPr>
              <w:t>Request Process</w:t>
            </w:r>
            <w:r w:rsidR="001929A9">
              <w:rPr>
                <w:noProof/>
                <w:webHidden/>
              </w:rPr>
              <w:tab/>
            </w:r>
            <w:r w:rsidR="001929A9">
              <w:rPr>
                <w:noProof/>
                <w:webHidden/>
              </w:rPr>
              <w:fldChar w:fldCharType="begin"/>
            </w:r>
            <w:r w:rsidR="001929A9">
              <w:rPr>
                <w:noProof/>
                <w:webHidden/>
              </w:rPr>
              <w:instrText xml:space="preserve"> PAGEREF _Toc174084827 \h </w:instrText>
            </w:r>
            <w:r w:rsidR="001929A9">
              <w:rPr>
                <w:noProof/>
                <w:webHidden/>
              </w:rPr>
            </w:r>
            <w:r w:rsidR="001929A9">
              <w:rPr>
                <w:noProof/>
                <w:webHidden/>
              </w:rPr>
              <w:fldChar w:fldCharType="separate"/>
            </w:r>
            <w:r w:rsidR="001929A9">
              <w:rPr>
                <w:noProof/>
                <w:webHidden/>
              </w:rPr>
              <w:t>4</w:t>
            </w:r>
            <w:r w:rsidR="001929A9">
              <w:rPr>
                <w:noProof/>
                <w:webHidden/>
              </w:rPr>
              <w:fldChar w:fldCharType="end"/>
            </w:r>
          </w:hyperlink>
        </w:p>
        <w:p w:rsidR="001929A9" w:rsidRDefault="002A6F58">
          <w:pPr>
            <w:pStyle w:val="TOC1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74084828" w:history="1">
            <w:r w:rsidR="001929A9" w:rsidRPr="00AD00BD">
              <w:rPr>
                <w:rStyle w:val="Hyperlink"/>
                <w:noProof/>
              </w:rPr>
              <w:t>Appendix 1:</w:t>
            </w:r>
            <w:r w:rsidR="001929A9">
              <w:rPr>
                <w:noProof/>
                <w:webHidden/>
              </w:rPr>
              <w:tab/>
            </w:r>
            <w:r w:rsidR="001929A9">
              <w:rPr>
                <w:noProof/>
                <w:webHidden/>
              </w:rPr>
              <w:fldChar w:fldCharType="begin"/>
            </w:r>
            <w:r w:rsidR="001929A9">
              <w:rPr>
                <w:noProof/>
                <w:webHidden/>
              </w:rPr>
              <w:instrText xml:space="preserve"> PAGEREF _Toc174084828 \h </w:instrText>
            </w:r>
            <w:r w:rsidR="001929A9">
              <w:rPr>
                <w:noProof/>
                <w:webHidden/>
              </w:rPr>
            </w:r>
            <w:r w:rsidR="001929A9">
              <w:rPr>
                <w:noProof/>
                <w:webHidden/>
              </w:rPr>
              <w:fldChar w:fldCharType="separate"/>
            </w:r>
            <w:r w:rsidR="001929A9">
              <w:rPr>
                <w:noProof/>
                <w:webHidden/>
              </w:rPr>
              <w:t>5</w:t>
            </w:r>
            <w:r w:rsidR="001929A9">
              <w:rPr>
                <w:noProof/>
                <w:webHidden/>
              </w:rPr>
              <w:fldChar w:fldCharType="end"/>
            </w:r>
          </w:hyperlink>
        </w:p>
        <w:p w:rsidR="001A6D47" w:rsidRPr="000912D5" w:rsidRDefault="00CA1765">
          <w:pPr>
            <w:rPr>
              <w:rFonts w:asciiTheme="minorHAnsi" w:hAnsiTheme="minorHAnsi" w:cstheme="minorHAnsi"/>
            </w:rPr>
          </w:pPr>
          <w:r w:rsidRPr="00D63FFB">
            <w:rPr>
              <w:rFonts w:asciiTheme="minorHAnsi" w:hAnsiTheme="minorHAnsi" w:cstheme="minorHAnsi"/>
              <w:sz w:val="28"/>
            </w:rPr>
            <w:fldChar w:fldCharType="end"/>
          </w:r>
        </w:p>
      </w:sdtContent>
    </w:sdt>
    <w:p w:rsidR="001A6D47" w:rsidRDefault="00CA1765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  <w:r w:rsidRPr="000912D5">
        <w:rPr>
          <w:rFonts w:asciiTheme="minorHAnsi" w:hAnsiTheme="minorHAnsi" w:cstheme="minorHAnsi"/>
        </w:rPr>
        <w:t xml:space="preserve"> </w:t>
      </w: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4C592E" w:rsidRDefault="004C592E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FC55D5" w:rsidRDefault="00FC55D5" w:rsidP="00FC55D5">
      <w:pPr>
        <w:pStyle w:val="Heading1"/>
        <w:ind w:left="0" w:firstLine="0"/>
      </w:pPr>
      <w:bookmarkStart w:id="1" w:name="_Toc174084824"/>
      <w:r>
        <w:lastRenderedPageBreak/>
        <w:t>Rationale</w:t>
      </w:r>
      <w:bookmarkEnd w:id="1"/>
    </w:p>
    <w:p w:rsidR="00FC55D5" w:rsidRDefault="00FC55D5" w:rsidP="00FC55D5">
      <w:r w:rsidRPr="00F548A3">
        <w:t>Preg</w:t>
      </w:r>
      <w:r>
        <w:t xml:space="preserve">nancy related moves should occur between 12 and 28 weeks, generally accepted as the most stable periods of a pregnancy. </w:t>
      </w:r>
      <w:r w:rsidR="00C57797">
        <w:t xml:space="preserve">IPAS will endeavour to complete transfers in this window where possible. Where notification of a pregnancy or arrival of a pregnant woman falls after the 28 week point, IPAS will endeavour to complete a transfer as soon as possible.  </w:t>
      </w:r>
      <w:r>
        <w:t>This benefits:</w:t>
      </w:r>
    </w:p>
    <w:p w:rsidR="00FC55D5" w:rsidRDefault="00FC55D5" w:rsidP="00FC55D5">
      <w:pPr>
        <w:pStyle w:val="ListParagraph"/>
        <w:numPr>
          <w:ilvl w:val="0"/>
          <w:numId w:val="38"/>
        </w:numPr>
        <w:spacing w:after="160" w:line="259" w:lineRule="auto"/>
      </w:pPr>
      <w:r>
        <w:t>Mother, giving time to settle and link in with support services.</w:t>
      </w:r>
    </w:p>
    <w:p w:rsidR="00FC55D5" w:rsidRDefault="00FC55D5" w:rsidP="00FC55D5">
      <w:pPr>
        <w:pStyle w:val="ListParagraph"/>
        <w:numPr>
          <w:ilvl w:val="0"/>
          <w:numId w:val="38"/>
        </w:numPr>
        <w:spacing w:after="160" w:line="259" w:lineRule="auto"/>
      </w:pPr>
      <w:r>
        <w:t>HSE, gives time to transfer care</w:t>
      </w:r>
    </w:p>
    <w:p w:rsidR="00FC55D5" w:rsidRDefault="00FC55D5" w:rsidP="00FC55D5">
      <w:pPr>
        <w:pStyle w:val="ListParagraph"/>
        <w:numPr>
          <w:ilvl w:val="0"/>
          <w:numId w:val="38"/>
        </w:numPr>
        <w:spacing w:after="160" w:line="259" w:lineRule="auto"/>
      </w:pPr>
      <w:r>
        <w:t>IPAS, additional time to source accommodation.</w:t>
      </w:r>
    </w:p>
    <w:p w:rsidR="00C57797" w:rsidRDefault="00C57797" w:rsidP="00C57797">
      <w:pPr>
        <w:spacing w:after="160" w:line="259" w:lineRule="auto"/>
      </w:pPr>
      <w:r>
        <w:t>Note: Residents cannot r</w:t>
      </w:r>
      <w:r w:rsidR="00073CBC">
        <w:t>emain in centres not designated</w:t>
      </w:r>
      <w:r>
        <w:t xml:space="preserve"> for children, or where sufficient space is not available.</w:t>
      </w:r>
    </w:p>
    <w:p w:rsidR="00FC55D5" w:rsidRDefault="00FC55D5" w:rsidP="00FC55D5">
      <w:pPr>
        <w:pStyle w:val="Heading1"/>
        <w:ind w:left="0" w:firstLine="0"/>
      </w:pPr>
      <w:bookmarkStart w:id="2" w:name="_Toc174084825"/>
      <w:r>
        <w:t>Relevant resident scenarios</w:t>
      </w:r>
      <w:bookmarkEnd w:id="2"/>
    </w:p>
    <w:p w:rsidR="00FC55D5" w:rsidRPr="00BE5D46" w:rsidRDefault="00FC55D5" w:rsidP="00FC55D5">
      <w:pPr>
        <w:jc w:val="both"/>
      </w:pPr>
      <w:r w:rsidRPr="00BE5D46">
        <w:t>For queries relating to transfers during pregnancy please note the below:</w:t>
      </w:r>
    </w:p>
    <w:p w:rsidR="00FC55D5" w:rsidRPr="00450D9A" w:rsidRDefault="00FC55D5" w:rsidP="00FC55D5">
      <w:pPr>
        <w:jc w:val="both"/>
      </w:pPr>
      <w:r w:rsidRPr="00450D9A">
        <w:t>In family accommodation</w:t>
      </w:r>
      <w:r>
        <w:t>;</w:t>
      </w:r>
    </w:p>
    <w:p w:rsidR="00FC55D5" w:rsidRDefault="00FC55D5" w:rsidP="00FC55D5">
      <w:pPr>
        <w:pStyle w:val="ListParagraph"/>
        <w:numPr>
          <w:ilvl w:val="0"/>
          <w:numId w:val="37"/>
        </w:numPr>
        <w:spacing w:after="160" w:line="259" w:lineRule="auto"/>
        <w:jc w:val="both"/>
      </w:pPr>
      <w:r w:rsidRPr="00450D9A">
        <w:t xml:space="preserve">Where a </w:t>
      </w:r>
      <w:r>
        <w:t>resident currently residing</w:t>
      </w:r>
      <w:r w:rsidR="0079216A">
        <w:t xml:space="preserve"> in family accommodation </w:t>
      </w:r>
      <w:r w:rsidR="005520C0">
        <w:t>has</w:t>
      </w:r>
      <w:r>
        <w:t xml:space="preserve"> notified their centre manager of their pregnancy, the centre manager must endeavour to facilitate the new-born in their current location.</w:t>
      </w:r>
    </w:p>
    <w:p w:rsidR="00FC55D5" w:rsidRDefault="00FC55D5" w:rsidP="00FC55D5">
      <w:pPr>
        <w:pStyle w:val="ListParagraph"/>
        <w:numPr>
          <w:ilvl w:val="0"/>
          <w:numId w:val="37"/>
        </w:numPr>
        <w:spacing w:after="160" w:line="259" w:lineRule="auto"/>
        <w:jc w:val="both"/>
      </w:pPr>
      <w:r>
        <w:t xml:space="preserve">If the centre manager cannot facilitate the family (in terms of space required for a cot etc.), the centre manager must notify IPAS (see Appendix 1) as soon as possible and include the </w:t>
      </w:r>
      <w:r w:rsidRPr="00404D23">
        <w:t>name</w:t>
      </w:r>
      <w:r>
        <w:t>(s)</w:t>
      </w:r>
      <w:r w:rsidRPr="00404D23">
        <w:t>, TRC num</w:t>
      </w:r>
      <w:r>
        <w:t>ber(s) of residents requiring alternative accommodation.</w:t>
      </w:r>
    </w:p>
    <w:p w:rsidR="00FC55D5" w:rsidRDefault="00FC55D5" w:rsidP="00FC55D5">
      <w:pPr>
        <w:jc w:val="both"/>
      </w:pPr>
      <w:r>
        <w:t>In single accommodation;</w:t>
      </w:r>
    </w:p>
    <w:p w:rsidR="00FC55D5" w:rsidRDefault="00FC55D5" w:rsidP="00FC55D5">
      <w:pPr>
        <w:pStyle w:val="ListParagraph"/>
        <w:numPr>
          <w:ilvl w:val="0"/>
          <w:numId w:val="37"/>
        </w:numPr>
        <w:spacing w:after="160" w:line="259" w:lineRule="auto"/>
        <w:jc w:val="both"/>
      </w:pPr>
      <w:r w:rsidRPr="00450D9A">
        <w:t xml:space="preserve">Where a </w:t>
      </w:r>
      <w:r>
        <w:t>resid</w:t>
      </w:r>
      <w:r w:rsidR="008E6C4A">
        <w:t>ent currently residing in singles only</w:t>
      </w:r>
      <w:r w:rsidR="0079216A">
        <w:t xml:space="preserve"> accommodatio</w:t>
      </w:r>
      <w:r w:rsidR="009644F5">
        <w:t>n</w:t>
      </w:r>
      <w:r>
        <w:t xml:space="preserve"> has notified their centre manager of their pregnancy, the centre manager must notify IPAS as soon as possible and include the </w:t>
      </w:r>
      <w:r w:rsidRPr="00404D23">
        <w:t>name</w:t>
      </w:r>
      <w:r>
        <w:t>(s)</w:t>
      </w:r>
      <w:r w:rsidRPr="00404D23">
        <w:t>, TRC num</w:t>
      </w:r>
      <w:r>
        <w:t>ber(s) of residents requiring alternative accommodation.</w:t>
      </w:r>
    </w:p>
    <w:p w:rsidR="00FC55D5" w:rsidRDefault="00FC55D5" w:rsidP="00FC55D5">
      <w:pPr>
        <w:jc w:val="both"/>
      </w:pPr>
      <w:r>
        <w:t>Medical complications in pregnancy;</w:t>
      </w:r>
    </w:p>
    <w:p w:rsidR="00FC55D5" w:rsidRPr="00B6383F" w:rsidRDefault="00FC55D5" w:rsidP="00FC55D5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  <w:rPr>
          <w:lang w:eastAsia="en-US"/>
        </w:rPr>
      </w:pPr>
      <w:r>
        <w:t>Thi</w:t>
      </w:r>
      <w:r w:rsidR="00C42521">
        <w:t xml:space="preserve">s process </w:t>
      </w:r>
      <w:r w:rsidR="00A46658">
        <w:t>does</w:t>
      </w:r>
      <w:r w:rsidR="00C42521">
        <w:t xml:space="preserve"> not replace </w:t>
      </w:r>
      <w:r>
        <w:t xml:space="preserve">the </w:t>
      </w:r>
      <w:hyperlink r:id="rId13" w:anchor="page=null" w:history="1">
        <w:r w:rsidR="00A22F33" w:rsidRPr="00A22F33">
          <w:rPr>
            <w:rStyle w:val="Hyperlink"/>
          </w:rPr>
          <w:t>IPAS Protocol for Medical Transfers</w:t>
        </w:r>
      </w:hyperlink>
      <w:r w:rsidR="00C42521">
        <w:t>. Transfer</w:t>
      </w:r>
      <w:r>
        <w:t xml:space="preserve"> re</w:t>
      </w:r>
      <w:r w:rsidR="00C42521">
        <w:t>quests</w:t>
      </w:r>
      <w:r>
        <w:t xml:space="preserve"> </w:t>
      </w:r>
      <w:r w:rsidR="000D1C94">
        <w:t>based on</w:t>
      </w:r>
      <w:r>
        <w:t xml:space="preserve"> complex pregnancies w</w:t>
      </w:r>
      <w:r w:rsidR="005520C0">
        <w:t>ill</w:t>
      </w:r>
      <w:r>
        <w:t xml:space="preserve"> still be managed via </w:t>
      </w:r>
      <w:r w:rsidR="005520C0">
        <w:t xml:space="preserve">the </w:t>
      </w:r>
      <w:r>
        <w:t>medical priority protocol.</w:t>
      </w:r>
    </w:p>
    <w:p w:rsidR="00FC55D5" w:rsidRDefault="005520C0" w:rsidP="00FC55D5">
      <w:pPr>
        <w:pStyle w:val="ListParagraph"/>
        <w:numPr>
          <w:ilvl w:val="0"/>
          <w:numId w:val="38"/>
        </w:numPr>
        <w:spacing w:after="0" w:line="240" w:lineRule="auto"/>
        <w:contextualSpacing w:val="0"/>
        <w:jc w:val="both"/>
      </w:pPr>
      <w:r>
        <w:t>Residents or third parties may</w:t>
      </w:r>
      <w:r w:rsidR="00FC55D5">
        <w:t xml:space="preserve"> submit a medical priority referral form</w:t>
      </w:r>
      <w:r>
        <w:t xml:space="preserve"> completed by a medical professional</w:t>
      </w:r>
      <w:r w:rsidR="00FC55D5">
        <w:t xml:space="preserve">. </w:t>
      </w:r>
      <w:r w:rsidR="00FC55D5" w:rsidRPr="005B481A">
        <w:t>Whilst the Resident Welfare Team may refer a person to the Resident Mobility Team in IPAS to address specific accommodation recommendations or requirements, the Resident Mobility Team operate within the overall constraints of the accommodation available.  </w:t>
      </w:r>
    </w:p>
    <w:p w:rsidR="00FC55D5" w:rsidRDefault="00FC55D5" w:rsidP="00FC55D5">
      <w:pPr>
        <w:spacing w:after="0" w:line="240" w:lineRule="auto"/>
        <w:ind w:left="0"/>
        <w:jc w:val="both"/>
      </w:pPr>
    </w:p>
    <w:p w:rsidR="00BA2123" w:rsidRDefault="00BA2123" w:rsidP="00F31247">
      <w:pPr>
        <w:pStyle w:val="Heading1"/>
        <w:ind w:left="0" w:firstLine="0"/>
      </w:pPr>
      <w:bookmarkStart w:id="3" w:name="_Toc174084826"/>
      <w:r>
        <w:t>Transfer Guidelines</w:t>
      </w:r>
      <w:bookmarkEnd w:id="3"/>
    </w:p>
    <w:p w:rsidR="00F31247" w:rsidRDefault="00F31247" w:rsidP="00F31247">
      <w:r>
        <w:t xml:space="preserve">This policy will apply to the scenarios outlined above </w:t>
      </w:r>
      <w:r w:rsidRPr="00C57797">
        <w:rPr>
          <w:b/>
          <w:u w:val="single"/>
        </w:rPr>
        <w:t>only</w:t>
      </w:r>
      <w:r>
        <w:t xml:space="preserve"> and be applied within the following guidelines:</w:t>
      </w:r>
    </w:p>
    <w:p w:rsidR="00F31247" w:rsidRDefault="00F31247" w:rsidP="00F31247">
      <w:pPr>
        <w:pStyle w:val="ListParagraph"/>
        <w:numPr>
          <w:ilvl w:val="0"/>
          <w:numId w:val="41"/>
        </w:numPr>
      </w:pPr>
      <w:r>
        <w:t>IPAS will seek new accommodation to ensure:</w:t>
      </w:r>
    </w:p>
    <w:p w:rsidR="00F31247" w:rsidRDefault="00F31247" w:rsidP="00F31247">
      <w:pPr>
        <w:pStyle w:val="ListParagraph"/>
        <w:numPr>
          <w:ilvl w:val="0"/>
          <w:numId w:val="42"/>
        </w:numPr>
      </w:pPr>
      <w:r>
        <w:t>Adequately sized accommodation for larger group.</w:t>
      </w:r>
    </w:p>
    <w:p w:rsidR="00F31247" w:rsidRDefault="00F31247" w:rsidP="00F31247">
      <w:pPr>
        <w:pStyle w:val="ListParagraph"/>
        <w:numPr>
          <w:ilvl w:val="0"/>
          <w:numId w:val="42"/>
        </w:numPr>
      </w:pPr>
      <w:r>
        <w:t>Relocation to a family centre for pregnant residents not already residing in one.</w:t>
      </w:r>
    </w:p>
    <w:p w:rsidR="00F31247" w:rsidRDefault="00F31247" w:rsidP="00F31247">
      <w:pPr>
        <w:pStyle w:val="ListParagraph"/>
        <w:numPr>
          <w:ilvl w:val="0"/>
          <w:numId w:val="41"/>
        </w:numPr>
      </w:pPr>
      <w:r>
        <w:t xml:space="preserve">IPAS cannot guarantee </w:t>
      </w:r>
      <w:r w:rsidR="00C42521">
        <w:t>that new accommodation will:</w:t>
      </w:r>
    </w:p>
    <w:p w:rsidR="00F31247" w:rsidRDefault="00C42521" w:rsidP="00F31247">
      <w:pPr>
        <w:pStyle w:val="ListParagraph"/>
        <w:numPr>
          <w:ilvl w:val="0"/>
          <w:numId w:val="43"/>
        </w:numPr>
      </w:pPr>
      <w:r>
        <w:t>Be in the same local area as current accommodation.</w:t>
      </w:r>
    </w:p>
    <w:p w:rsidR="00C42521" w:rsidRDefault="00C42521" w:rsidP="00F31247">
      <w:pPr>
        <w:pStyle w:val="ListParagraph"/>
        <w:numPr>
          <w:ilvl w:val="0"/>
          <w:numId w:val="43"/>
        </w:numPr>
      </w:pPr>
      <w:r>
        <w:t xml:space="preserve">Be within the catchment area of the resident’s current </w:t>
      </w:r>
      <w:r w:rsidR="008C2C67">
        <w:t>antenatal</w:t>
      </w:r>
      <w:r>
        <w:t xml:space="preserve"> care service. However, residents will be assisted in accessing care in their new location.</w:t>
      </w:r>
    </w:p>
    <w:p w:rsidR="00C42521" w:rsidRDefault="00C42521" w:rsidP="00F31247">
      <w:pPr>
        <w:pStyle w:val="ListParagraph"/>
        <w:numPr>
          <w:ilvl w:val="0"/>
          <w:numId w:val="43"/>
        </w:numPr>
      </w:pPr>
      <w:r>
        <w:t xml:space="preserve">Be either catered or </w:t>
      </w:r>
      <w:r w:rsidR="008C2C67">
        <w:t>self-catering</w:t>
      </w:r>
      <w:r>
        <w:t>.</w:t>
      </w:r>
    </w:p>
    <w:p w:rsidR="00C42521" w:rsidRDefault="00C42521" w:rsidP="00C42521">
      <w:pPr>
        <w:pStyle w:val="ListParagraph"/>
        <w:numPr>
          <w:ilvl w:val="0"/>
          <w:numId w:val="41"/>
        </w:numPr>
      </w:pPr>
      <w:r>
        <w:t>IPAS will not consider the following when assigning accommodation:</w:t>
      </w:r>
    </w:p>
    <w:p w:rsidR="00C42521" w:rsidRDefault="00C42521" w:rsidP="00C42521">
      <w:pPr>
        <w:pStyle w:val="ListParagraph"/>
        <w:numPr>
          <w:ilvl w:val="0"/>
          <w:numId w:val="44"/>
        </w:numPr>
      </w:pPr>
      <w:r>
        <w:t>Access to job opportunities</w:t>
      </w:r>
    </w:p>
    <w:p w:rsidR="00C42521" w:rsidRDefault="00C42521" w:rsidP="00C42521">
      <w:pPr>
        <w:pStyle w:val="ListParagraph"/>
        <w:numPr>
          <w:ilvl w:val="0"/>
          <w:numId w:val="44"/>
        </w:numPr>
      </w:pPr>
      <w:r>
        <w:t>Access to specific education opportunities</w:t>
      </w:r>
    </w:p>
    <w:p w:rsidR="000D1C94" w:rsidRDefault="000D1C94" w:rsidP="00C42521">
      <w:pPr>
        <w:pStyle w:val="ListParagraph"/>
        <w:numPr>
          <w:ilvl w:val="0"/>
          <w:numId w:val="44"/>
        </w:numPr>
      </w:pPr>
      <w:r>
        <w:t>Proximity to extended family members living in Ireland</w:t>
      </w:r>
    </w:p>
    <w:p w:rsidR="000D1C94" w:rsidRDefault="000D1C94" w:rsidP="000D1C94">
      <w:pPr>
        <w:pStyle w:val="ListParagraph"/>
        <w:numPr>
          <w:ilvl w:val="0"/>
          <w:numId w:val="41"/>
        </w:numPr>
      </w:pPr>
      <w:r>
        <w:t xml:space="preserve">Related </w:t>
      </w:r>
      <w:r w:rsidRPr="00A46658">
        <w:rPr>
          <w:color w:val="000000" w:themeColor="text1"/>
        </w:rPr>
        <w:t xml:space="preserve">to </w:t>
      </w:r>
      <w:r w:rsidR="00A46658" w:rsidRPr="00A46658">
        <w:rPr>
          <w:color w:val="000000" w:themeColor="text1"/>
        </w:rPr>
        <w:t>– medium and high risk pregnancies (as per Medical Protocol)</w:t>
      </w:r>
    </w:p>
    <w:p w:rsidR="000D1C94" w:rsidRDefault="000D1C94" w:rsidP="000D1C94">
      <w:pPr>
        <w:pStyle w:val="ListParagraph"/>
        <w:numPr>
          <w:ilvl w:val="0"/>
          <w:numId w:val="45"/>
        </w:numPr>
      </w:pPr>
      <w:r>
        <w:t xml:space="preserve">The primary route for these transfer requests should be via the </w:t>
      </w:r>
      <w:hyperlink r:id="rId14" w:anchor="page=null" w:history="1">
        <w:r w:rsidRPr="00A22F33">
          <w:rPr>
            <w:rStyle w:val="Hyperlink"/>
          </w:rPr>
          <w:t>IPAS</w:t>
        </w:r>
        <w:r w:rsidR="00A22F33" w:rsidRPr="00A22F33">
          <w:rPr>
            <w:rStyle w:val="Hyperlink"/>
          </w:rPr>
          <w:t xml:space="preserve"> Protocol for Medical Transfers</w:t>
        </w:r>
      </w:hyperlink>
      <w:r>
        <w:t>.</w:t>
      </w:r>
    </w:p>
    <w:p w:rsidR="000D1C94" w:rsidRDefault="000D1C94" w:rsidP="000D1C94">
      <w:pPr>
        <w:pStyle w:val="ListParagraph"/>
        <w:numPr>
          <w:ilvl w:val="0"/>
          <w:numId w:val="45"/>
        </w:numPr>
      </w:pPr>
      <w:r>
        <w:lastRenderedPageBreak/>
        <w:t xml:space="preserve">Where urgent re-accommodation is required, eg. new arrivals to Ireland already in late term, the priority will be to assign accommodation </w:t>
      </w:r>
      <w:r w:rsidR="00A22F33">
        <w:t xml:space="preserve">according to guideline 1 (above) before seeking transfer under the </w:t>
      </w:r>
      <w:hyperlink r:id="rId15" w:anchor="page=null" w:history="1">
        <w:r w:rsidR="00A22F33" w:rsidRPr="00A22F33">
          <w:rPr>
            <w:rStyle w:val="Hyperlink"/>
          </w:rPr>
          <w:t>IPAS Protocol for Medical Transfers</w:t>
        </w:r>
      </w:hyperlink>
      <w:r w:rsidR="00A22F33">
        <w:t xml:space="preserve">. </w:t>
      </w:r>
    </w:p>
    <w:p w:rsidR="000D1C94" w:rsidRDefault="000D1C94" w:rsidP="000D1C94">
      <w:pPr>
        <w:pStyle w:val="ListParagraph"/>
        <w:ind w:left="1211" w:firstLine="0"/>
      </w:pPr>
    </w:p>
    <w:p w:rsidR="00F31247" w:rsidRDefault="00F31247" w:rsidP="00F31247">
      <w:pPr>
        <w:pStyle w:val="ListParagraph"/>
        <w:ind w:firstLine="0"/>
      </w:pPr>
    </w:p>
    <w:p w:rsidR="00F31247" w:rsidRPr="00F31247" w:rsidRDefault="00F31247" w:rsidP="00F31247">
      <w:pPr>
        <w:ind w:left="360" w:firstLine="0"/>
      </w:pPr>
    </w:p>
    <w:p w:rsidR="00A22F33" w:rsidRPr="00D63FFB" w:rsidRDefault="00FC55D5" w:rsidP="00D63FFB">
      <w:pPr>
        <w:rPr>
          <w:b/>
          <w:color w:val="4F81BD"/>
          <w:sz w:val="26"/>
        </w:rPr>
      </w:pPr>
      <w:bookmarkStart w:id="4" w:name="_Toc174084827"/>
      <w:r>
        <w:rPr>
          <w:rStyle w:val="Heading1Char"/>
        </w:rPr>
        <w:t>Request Process</w:t>
      </w:r>
      <w:bookmarkEnd w:id="4"/>
    </w:p>
    <w:tbl>
      <w:tblPr>
        <w:tblStyle w:val="TableGrid0"/>
        <w:tblW w:w="95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1"/>
        <w:gridCol w:w="8751"/>
      </w:tblGrid>
      <w:tr w:rsidR="00FC55D5" w:rsidTr="00A22F33">
        <w:trPr>
          <w:trHeight w:val="560"/>
        </w:trPr>
        <w:tc>
          <w:tcPr>
            <w:tcW w:w="781" w:type="dxa"/>
            <w:shd w:val="clear" w:color="auto" w:fill="538135" w:themeFill="accent6" w:themeFillShade="BF"/>
          </w:tcPr>
          <w:p w:rsidR="00FC55D5" w:rsidRPr="002E0C86" w:rsidRDefault="00FC55D5" w:rsidP="00D73115">
            <w:pPr>
              <w:rPr>
                <w:b/>
                <w:color w:val="FFFFFF" w:themeColor="background1"/>
                <w:sz w:val="24"/>
              </w:rPr>
            </w:pPr>
            <w:r w:rsidRPr="002E0C86">
              <w:rPr>
                <w:b/>
                <w:color w:val="FFFFFF" w:themeColor="background1"/>
                <w:sz w:val="24"/>
              </w:rPr>
              <w:t>Step</w:t>
            </w:r>
          </w:p>
        </w:tc>
        <w:tc>
          <w:tcPr>
            <w:tcW w:w="8751" w:type="dxa"/>
            <w:shd w:val="clear" w:color="auto" w:fill="538135" w:themeFill="accent6" w:themeFillShade="BF"/>
          </w:tcPr>
          <w:p w:rsidR="00FC55D5" w:rsidRPr="002E0C86" w:rsidRDefault="00FC55D5" w:rsidP="00D73115">
            <w:pPr>
              <w:rPr>
                <w:b/>
                <w:color w:val="FFFFFF" w:themeColor="background1"/>
                <w:sz w:val="24"/>
              </w:rPr>
            </w:pPr>
            <w:r w:rsidRPr="002E0C86">
              <w:rPr>
                <w:b/>
                <w:color w:val="FFFFFF" w:themeColor="background1"/>
                <w:sz w:val="24"/>
              </w:rPr>
              <w:t>Action</w:t>
            </w:r>
          </w:p>
        </w:tc>
      </w:tr>
      <w:tr w:rsidR="00FC55D5" w:rsidTr="00A22F33">
        <w:trPr>
          <w:trHeight w:val="315"/>
        </w:trPr>
        <w:tc>
          <w:tcPr>
            <w:tcW w:w="781" w:type="dxa"/>
            <w:shd w:val="clear" w:color="auto" w:fill="E2EFD9" w:themeFill="accent6" w:themeFillTint="33"/>
            <w:vAlign w:val="center"/>
          </w:tcPr>
          <w:p w:rsidR="00FC55D5" w:rsidRDefault="00FC55D5" w:rsidP="00D73115">
            <w:r>
              <w:t>1</w:t>
            </w:r>
          </w:p>
        </w:tc>
        <w:tc>
          <w:tcPr>
            <w:tcW w:w="8751" w:type="dxa"/>
            <w:vAlign w:val="center"/>
          </w:tcPr>
          <w:p w:rsidR="00FC55D5" w:rsidRDefault="00FC55D5" w:rsidP="00BA2123">
            <w:pPr>
              <w:spacing w:after="0" w:line="240" w:lineRule="auto"/>
            </w:pPr>
            <w:r>
              <w:t xml:space="preserve">Centre managers or residents should send an IPAS Pregnancy Reporting Form (Appendix 1) to </w:t>
            </w:r>
            <w:hyperlink r:id="rId16" w:history="1">
              <w:r w:rsidRPr="002B3551">
                <w:rPr>
                  <w:rStyle w:val="Hyperlink"/>
                </w:rPr>
                <w:t>ipasinbox@equality.gov.ie</w:t>
              </w:r>
            </w:hyperlink>
            <w:r>
              <w:t xml:space="preserve">. </w:t>
            </w:r>
          </w:p>
        </w:tc>
      </w:tr>
      <w:tr w:rsidR="00FC55D5" w:rsidTr="00A22F33">
        <w:trPr>
          <w:trHeight w:val="280"/>
        </w:trPr>
        <w:tc>
          <w:tcPr>
            <w:tcW w:w="781" w:type="dxa"/>
            <w:shd w:val="clear" w:color="auto" w:fill="E2EFD9" w:themeFill="accent6" w:themeFillTint="33"/>
            <w:vAlign w:val="center"/>
          </w:tcPr>
          <w:p w:rsidR="00FC55D5" w:rsidRDefault="00FC55D5" w:rsidP="00D73115">
            <w:r>
              <w:t>2</w:t>
            </w:r>
          </w:p>
        </w:tc>
        <w:tc>
          <w:tcPr>
            <w:tcW w:w="8751" w:type="dxa"/>
            <w:vAlign w:val="center"/>
          </w:tcPr>
          <w:p w:rsidR="00FC55D5" w:rsidRDefault="00FC55D5" w:rsidP="00BA2123">
            <w:pPr>
              <w:spacing w:after="0" w:line="240" w:lineRule="auto"/>
            </w:pPr>
            <w:r>
              <w:t>Requests will receive confirmation of receipt or request for further information.</w:t>
            </w:r>
          </w:p>
        </w:tc>
      </w:tr>
      <w:tr w:rsidR="00FC55D5" w:rsidTr="00A22F33">
        <w:trPr>
          <w:trHeight w:val="280"/>
        </w:trPr>
        <w:tc>
          <w:tcPr>
            <w:tcW w:w="781" w:type="dxa"/>
            <w:shd w:val="clear" w:color="auto" w:fill="E2EFD9" w:themeFill="accent6" w:themeFillTint="33"/>
            <w:vAlign w:val="center"/>
          </w:tcPr>
          <w:p w:rsidR="00FC55D5" w:rsidRDefault="00FC55D5" w:rsidP="00D73115">
            <w:r>
              <w:t>3</w:t>
            </w:r>
          </w:p>
        </w:tc>
        <w:tc>
          <w:tcPr>
            <w:tcW w:w="8751" w:type="dxa"/>
            <w:vAlign w:val="center"/>
          </w:tcPr>
          <w:p w:rsidR="00FC55D5" w:rsidRDefault="00FC55D5" w:rsidP="00BA2123">
            <w:pPr>
              <w:spacing w:after="0" w:line="240" w:lineRule="auto"/>
            </w:pPr>
            <w:r>
              <w:t>Completed forms will be reviewed by IPAS Resident Welfare Team</w:t>
            </w:r>
            <w:r w:rsidR="00BA2123">
              <w:t xml:space="preserve"> </w:t>
            </w:r>
            <w:r w:rsidR="00FF2D51">
              <w:t xml:space="preserve">(RWT) </w:t>
            </w:r>
            <w:r w:rsidR="00BA2123">
              <w:t>for additional needs</w:t>
            </w:r>
          </w:p>
        </w:tc>
      </w:tr>
      <w:tr w:rsidR="00FC55D5" w:rsidTr="00A22F33">
        <w:trPr>
          <w:trHeight w:val="280"/>
        </w:trPr>
        <w:tc>
          <w:tcPr>
            <w:tcW w:w="781" w:type="dxa"/>
            <w:shd w:val="clear" w:color="auto" w:fill="E2EFD9" w:themeFill="accent6" w:themeFillTint="33"/>
            <w:vAlign w:val="center"/>
          </w:tcPr>
          <w:p w:rsidR="00FC55D5" w:rsidRDefault="00FC55D5" w:rsidP="00D73115">
            <w:r>
              <w:t>4</w:t>
            </w:r>
          </w:p>
        </w:tc>
        <w:tc>
          <w:tcPr>
            <w:tcW w:w="8751" w:type="dxa"/>
            <w:vAlign w:val="center"/>
          </w:tcPr>
          <w:p w:rsidR="00FC55D5" w:rsidRDefault="009644F5" w:rsidP="003F2C9F">
            <w:pPr>
              <w:spacing w:after="0" w:line="240" w:lineRule="auto"/>
            </w:pPr>
            <w:r>
              <w:t>R</w:t>
            </w:r>
            <w:r w:rsidR="00BA2123">
              <w:t xml:space="preserve">equest for accommodation including relevant </w:t>
            </w:r>
            <w:r w:rsidR="00FF2D51">
              <w:t xml:space="preserve">RWT </w:t>
            </w:r>
            <w:r w:rsidR="003F2C9F">
              <w:t>referral</w:t>
            </w:r>
            <w:r w:rsidR="00BA2123">
              <w:t xml:space="preserve"> will be passed to IPAS Resident Mobility Team to identify new accommodation.</w:t>
            </w:r>
          </w:p>
        </w:tc>
      </w:tr>
      <w:tr w:rsidR="00FC55D5" w:rsidTr="00A22F33">
        <w:trPr>
          <w:trHeight w:val="280"/>
        </w:trPr>
        <w:tc>
          <w:tcPr>
            <w:tcW w:w="781" w:type="dxa"/>
            <w:shd w:val="clear" w:color="auto" w:fill="E2EFD9" w:themeFill="accent6" w:themeFillTint="33"/>
            <w:vAlign w:val="center"/>
          </w:tcPr>
          <w:p w:rsidR="00FC55D5" w:rsidRDefault="00FC55D5" w:rsidP="00D73115">
            <w:r>
              <w:t xml:space="preserve">5 </w:t>
            </w:r>
          </w:p>
        </w:tc>
        <w:tc>
          <w:tcPr>
            <w:tcW w:w="8751" w:type="dxa"/>
            <w:vAlign w:val="center"/>
          </w:tcPr>
          <w:p w:rsidR="00FC55D5" w:rsidRDefault="00BA2123" w:rsidP="00BA2123">
            <w:pPr>
              <w:spacing w:after="0" w:line="240" w:lineRule="auto"/>
            </w:pPr>
            <w:r>
              <w:t>Centre manager/resident will be contacted with offer of new accommodation.</w:t>
            </w:r>
          </w:p>
        </w:tc>
      </w:tr>
    </w:tbl>
    <w:p w:rsidR="007721A6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7721A6" w:rsidRPr="000912D5" w:rsidRDefault="007721A6" w:rsidP="001F5D4D">
      <w:pPr>
        <w:spacing w:after="177" w:line="365" w:lineRule="auto"/>
        <w:ind w:right="29"/>
        <w:rPr>
          <w:rFonts w:asciiTheme="minorHAnsi" w:hAnsiTheme="minorHAnsi" w:cstheme="minorHAnsi"/>
        </w:rPr>
      </w:pPr>
    </w:p>
    <w:p w:rsidR="00FC55D5" w:rsidRDefault="00FC55D5">
      <w:pPr>
        <w:spacing w:after="160" w:line="259" w:lineRule="auto"/>
        <w:ind w:left="0" w:firstLine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</w:rPr>
        <w:br w:type="page"/>
      </w:r>
    </w:p>
    <w:p w:rsidR="00122033" w:rsidRPr="00FC55D5" w:rsidRDefault="00FC55D5" w:rsidP="00FC55D5">
      <w:pPr>
        <w:pStyle w:val="Header1DCEDIY"/>
      </w:pPr>
      <w:bookmarkStart w:id="5" w:name="_Toc174084828"/>
      <w:r w:rsidRPr="00FC55D5">
        <w:lastRenderedPageBreak/>
        <w:t>Appendix 1:</w:t>
      </w:r>
      <w:bookmarkEnd w:id="5"/>
    </w:p>
    <w:p w:rsidR="00A02E7F" w:rsidRPr="00A3133E" w:rsidRDefault="00A02E7F" w:rsidP="00A02E7F">
      <w:pPr>
        <w:jc w:val="center"/>
        <w:rPr>
          <w:rFonts w:cstheme="minorHAnsi"/>
          <w:b/>
          <w:sz w:val="32"/>
          <w:szCs w:val="24"/>
        </w:rPr>
      </w:pPr>
      <w:r w:rsidRPr="00A3133E">
        <w:rPr>
          <w:rFonts w:cstheme="minorHAnsi"/>
          <w:b/>
          <w:sz w:val="32"/>
          <w:szCs w:val="24"/>
        </w:rPr>
        <w:t>IPAS PREGNANCY REPORTING FORM</w:t>
      </w:r>
    </w:p>
    <w:p w:rsidR="00A02E7F" w:rsidRPr="008D194B" w:rsidRDefault="00A02E7F" w:rsidP="00A02E7F">
      <w:pPr>
        <w:rPr>
          <w:rFonts w:cstheme="minorHAnsi"/>
          <w:color w:val="000000" w:themeColor="text1"/>
          <w:sz w:val="24"/>
          <w:szCs w:val="24"/>
        </w:rPr>
      </w:pPr>
      <w:r w:rsidRPr="008D194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8" behindDoc="0" locked="0" layoutInCell="1" allowOverlap="1" wp14:anchorId="63BA0CDA" wp14:editId="738BE6E0">
                <wp:simplePos x="0" y="0"/>
                <wp:positionH relativeFrom="margin">
                  <wp:posOffset>3545205</wp:posOffset>
                </wp:positionH>
                <wp:positionV relativeFrom="paragraph">
                  <wp:posOffset>150495</wp:posOffset>
                </wp:positionV>
                <wp:extent cx="2635885" cy="1404620"/>
                <wp:effectExtent l="0" t="0" r="1206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E7F" w:rsidRDefault="00A02E7F" w:rsidP="00A02E7F">
                            <w:pPr>
                              <w:spacing w:after="0"/>
                            </w:pPr>
                            <w:r w:rsidRPr="00DE4E78">
                              <w:t>This form may also be completed by</w:t>
                            </w:r>
                            <w:r>
                              <w:t>: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59" w:lineRule="auto"/>
                            </w:pPr>
                            <w:r w:rsidRPr="00DE4E78">
                              <w:t>int</w:t>
                            </w:r>
                            <w:r>
                              <w:t>ernational protection applicant</w:t>
                            </w:r>
                          </w:p>
                          <w:p w:rsidR="00A02E7F" w:rsidRDefault="005520C0" w:rsidP="00A02E7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59" w:lineRule="auto"/>
                            </w:pPr>
                            <w:r>
                              <w:t>medical social worker</w:t>
                            </w:r>
                          </w:p>
                          <w:p w:rsidR="00A02E7F" w:rsidRDefault="005520C0" w:rsidP="00A02E7F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59" w:lineRule="auto"/>
                            </w:pPr>
                            <w:r>
                              <w:t>medical professional</w:t>
                            </w:r>
                            <w:r w:rsidR="00A02E7F" w:rsidRPr="00DE4E78">
                              <w:t xml:space="preserve"> on the applicant’s behalf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BA0C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15pt;margin-top:11.85pt;width:207.55pt;height:110.6pt;z-index:251663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" strokeweight="2pt">
                <v:textbox style="mso-fit-shape-to-text:t">
                  <w:txbxContent>
                    <w:p w:rsidR="00A02E7F" w:rsidRDefault="00A02E7F" w:rsidP="00A02E7F">
                      <w:pPr>
                        <w:spacing w:after="0"/>
                      </w:pPr>
                      <w:r w:rsidRPr="00DE4E78">
                        <w:t xml:space="preserve">This form </w:t>
                      </w:r>
                      <w:proofErr w:type="gramStart"/>
                      <w:r w:rsidRPr="00DE4E78">
                        <w:t>may also be completed</w:t>
                      </w:r>
                      <w:proofErr w:type="gramEnd"/>
                      <w:r w:rsidRPr="00DE4E78">
                        <w:t xml:space="preserve"> by</w:t>
                      </w:r>
                      <w:r>
                        <w:t>: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59" w:lineRule="auto"/>
                      </w:pPr>
                      <w:r w:rsidRPr="00DE4E78">
                        <w:t>int</w:t>
                      </w:r>
                      <w:r>
                        <w:t>ernational protection applicant</w:t>
                      </w:r>
                    </w:p>
                    <w:p w:rsidR="00A02E7F" w:rsidRDefault="005520C0" w:rsidP="00A02E7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59" w:lineRule="auto"/>
                      </w:pPr>
                      <w:r>
                        <w:t>medical social worker</w:t>
                      </w:r>
                    </w:p>
                    <w:p w:rsidR="00A02E7F" w:rsidRDefault="005520C0" w:rsidP="00A02E7F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59" w:lineRule="auto"/>
                      </w:pPr>
                      <w:r>
                        <w:t>medical professional</w:t>
                      </w:r>
                      <w:bookmarkStart w:id="6" w:name="_GoBack"/>
                      <w:bookmarkEnd w:id="6"/>
                      <w:r w:rsidR="00A02E7F" w:rsidRPr="00DE4E78">
                        <w:t xml:space="preserve"> on the applicant’s behalf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194B">
        <w:rPr>
          <w:rFonts w:cstheme="minorHAnsi"/>
          <w:color w:val="FF0000"/>
          <w:sz w:val="24"/>
          <w:szCs w:val="24"/>
        </w:rPr>
        <w:br/>
      </w:r>
      <w:r w:rsidRPr="008D194B">
        <w:rPr>
          <w:rFonts w:cstheme="minorHAnsi"/>
          <w:color w:val="000000" w:themeColor="text1"/>
          <w:sz w:val="24"/>
          <w:szCs w:val="24"/>
        </w:rPr>
        <w:t>Centre Managers:</w:t>
      </w:r>
    </w:p>
    <w:p w:rsidR="00A02E7F" w:rsidRPr="00A02E7F" w:rsidRDefault="00A02E7F" w:rsidP="00A02E7F">
      <w:pPr>
        <w:rPr>
          <w:rFonts w:cstheme="minorHAnsi"/>
          <w:b/>
          <w:color w:val="000000" w:themeColor="text1"/>
          <w:sz w:val="24"/>
          <w:szCs w:val="24"/>
        </w:rPr>
      </w:pPr>
      <w:r w:rsidRPr="008D194B">
        <w:rPr>
          <w:rFonts w:cstheme="minorHAnsi"/>
          <w:color w:val="000000" w:themeColor="text1"/>
          <w:sz w:val="24"/>
          <w:szCs w:val="24"/>
        </w:rPr>
        <w:t xml:space="preserve">Use this form to inform IPAS of a resident’s confirmed pregnancy of </w:t>
      </w:r>
      <w:r w:rsidRPr="008D194B">
        <w:rPr>
          <w:rFonts w:cstheme="minorHAnsi"/>
          <w:color w:val="000000" w:themeColor="text1"/>
          <w:sz w:val="24"/>
          <w:szCs w:val="24"/>
          <w:u w:val="single"/>
        </w:rPr>
        <w:t>over 12 weeks duration</w:t>
      </w:r>
      <w:r w:rsidRPr="008D194B">
        <w:rPr>
          <w:rFonts w:cstheme="minorHAnsi"/>
          <w:color w:val="000000" w:themeColor="text1"/>
          <w:sz w:val="24"/>
          <w:szCs w:val="24"/>
        </w:rPr>
        <w:t xml:space="preserve"> </w:t>
      </w:r>
      <w:r w:rsidRPr="008D194B">
        <w:rPr>
          <w:rFonts w:cstheme="minorHAnsi"/>
          <w:b/>
          <w:color w:val="000000" w:themeColor="text1"/>
          <w:sz w:val="24"/>
          <w:szCs w:val="24"/>
        </w:rPr>
        <w:t>ONLY</w:t>
      </w:r>
      <w:r w:rsidRPr="008D194B">
        <w:rPr>
          <w:rFonts w:cstheme="minorHAnsi"/>
          <w:color w:val="000000" w:themeColor="text1"/>
          <w:sz w:val="24"/>
          <w:szCs w:val="24"/>
        </w:rPr>
        <w:t xml:space="preserve"> </w:t>
      </w:r>
      <w:r w:rsidRPr="008D194B">
        <w:rPr>
          <w:rFonts w:cstheme="minorHAnsi"/>
          <w:color w:val="000000" w:themeColor="text1"/>
          <w:sz w:val="24"/>
          <w:szCs w:val="24"/>
          <w:u w:val="single"/>
        </w:rPr>
        <w:t>where you will be unable to accommodate the new/enlarged family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56"/>
        <w:gridCol w:w="3406"/>
        <w:gridCol w:w="1384"/>
        <w:gridCol w:w="1724"/>
      </w:tblGrid>
      <w:tr w:rsidR="00A02E7F" w:rsidRPr="008D194B" w:rsidTr="00561E6F">
        <w:tc>
          <w:tcPr>
            <w:tcW w:w="9770" w:type="dxa"/>
            <w:gridSpan w:val="4"/>
            <w:shd w:val="clear" w:color="auto" w:fill="538135" w:themeFill="accent6" w:themeFillShade="BF"/>
          </w:tcPr>
          <w:p w:rsidR="00A02E7F" w:rsidRPr="00B97752" w:rsidRDefault="00A02E7F" w:rsidP="006F4C0B">
            <w:pPr>
              <w:rPr>
                <w:rFonts w:cstheme="minorHAnsi"/>
                <w:b/>
                <w:sz w:val="24"/>
                <w:szCs w:val="24"/>
              </w:rPr>
            </w:pPr>
            <w:r w:rsidRPr="00561E6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Resident Information</w:t>
            </w:r>
          </w:p>
        </w:tc>
      </w:tr>
      <w:tr w:rsidR="00A02E7F" w:rsidRPr="008D194B" w:rsidTr="00561E6F">
        <w:trPr>
          <w:trHeight w:val="244"/>
        </w:trPr>
        <w:tc>
          <w:tcPr>
            <w:tcW w:w="3256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  <w:r w:rsidRPr="00561E6F">
              <w:rPr>
                <w:rFonts w:cstheme="minorHAnsi"/>
                <w:szCs w:val="24"/>
              </w:rPr>
              <w:t>Resident’s Name</w:t>
            </w:r>
          </w:p>
        </w:tc>
        <w:tc>
          <w:tcPr>
            <w:tcW w:w="3406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  <w:r w:rsidRPr="00561E6F">
              <w:rPr>
                <w:rFonts w:cstheme="minorHAnsi"/>
                <w:szCs w:val="24"/>
              </w:rPr>
              <w:t>ID Number</w:t>
            </w:r>
          </w:p>
        </w:tc>
        <w:tc>
          <w:tcPr>
            <w:tcW w:w="1724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c>
          <w:tcPr>
            <w:tcW w:w="3256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  <w:r w:rsidRPr="00561E6F">
              <w:rPr>
                <w:rFonts w:cstheme="minorHAnsi"/>
                <w:szCs w:val="24"/>
              </w:rPr>
              <w:t>Current IPAS Centre</w:t>
            </w:r>
          </w:p>
        </w:tc>
        <w:tc>
          <w:tcPr>
            <w:tcW w:w="6514" w:type="dxa"/>
            <w:gridSpan w:val="3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</w:tbl>
    <w:p w:rsidR="00A02E7F" w:rsidRPr="008D194B" w:rsidRDefault="00A02E7F" w:rsidP="00A02E7F">
      <w:pPr>
        <w:spacing w:after="0"/>
        <w:rPr>
          <w:rFonts w:cstheme="minorHAnsi"/>
          <w:sz w:val="10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56"/>
        <w:gridCol w:w="6514"/>
      </w:tblGrid>
      <w:tr w:rsidR="00A02E7F" w:rsidRPr="008D194B" w:rsidTr="00561E6F">
        <w:tc>
          <w:tcPr>
            <w:tcW w:w="9770" w:type="dxa"/>
            <w:gridSpan w:val="2"/>
            <w:shd w:val="clear" w:color="auto" w:fill="538135" w:themeFill="accent6" w:themeFillShade="BF"/>
          </w:tcPr>
          <w:p w:rsidR="00A02E7F" w:rsidRPr="00B97752" w:rsidRDefault="00A02E7F" w:rsidP="006F4C0B">
            <w:pPr>
              <w:rPr>
                <w:rFonts w:cstheme="minorHAnsi"/>
                <w:b/>
                <w:sz w:val="24"/>
                <w:szCs w:val="24"/>
              </w:rPr>
            </w:pPr>
            <w:r w:rsidRPr="00561E6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Details of Pregnancy</w:t>
            </w:r>
          </w:p>
        </w:tc>
      </w:tr>
      <w:tr w:rsidR="00A02E7F" w:rsidRPr="008D194B" w:rsidTr="00561E6F">
        <w:tc>
          <w:tcPr>
            <w:tcW w:w="3256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</w:rPr>
            </w:pPr>
            <w:r w:rsidRPr="00561E6F">
              <w:rPr>
                <w:rFonts w:cstheme="minorHAnsi"/>
              </w:rPr>
              <w:t>Expected Due Date</w:t>
            </w:r>
          </w:p>
        </w:tc>
        <w:tc>
          <w:tcPr>
            <w:tcW w:w="6514" w:type="dxa"/>
          </w:tcPr>
          <w:p w:rsidR="00A02E7F" w:rsidRPr="00561E6F" w:rsidRDefault="00A02E7F" w:rsidP="006F4C0B">
            <w:pPr>
              <w:rPr>
                <w:rFonts w:cstheme="minorHAnsi"/>
              </w:rPr>
            </w:pPr>
          </w:p>
        </w:tc>
      </w:tr>
      <w:tr w:rsidR="00A02E7F" w:rsidRPr="008D194B" w:rsidTr="00561E6F">
        <w:tc>
          <w:tcPr>
            <w:tcW w:w="3256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</w:rPr>
            </w:pPr>
            <w:r w:rsidRPr="00561E6F">
              <w:rPr>
                <w:rFonts w:cstheme="minorHAnsi"/>
              </w:rPr>
              <w:t>Location of ante-natal services being attended</w:t>
            </w:r>
          </w:p>
        </w:tc>
        <w:tc>
          <w:tcPr>
            <w:tcW w:w="6514" w:type="dxa"/>
          </w:tcPr>
          <w:p w:rsidR="00A02E7F" w:rsidRPr="00561E6F" w:rsidRDefault="00A02E7F" w:rsidP="006F4C0B">
            <w:pPr>
              <w:rPr>
                <w:rFonts w:cstheme="minorHAnsi"/>
              </w:rPr>
            </w:pPr>
          </w:p>
        </w:tc>
      </w:tr>
      <w:tr w:rsidR="00A02E7F" w:rsidRPr="008D194B" w:rsidTr="00561E6F">
        <w:trPr>
          <w:trHeight w:val="521"/>
        </w:trPr>
        <w:tc>
          <w:tcPr>
            <w:tcW w:w="3256" w:type="dxa"/>
            <w:shd w:val="clear" w:color="auto" w:fill="E2EFD9" w:themeFill="accent6" w:themeFillTint="33"/>
          </w:tcPr>
          <w:p w:rsidR="00A02E7F" w:rsidRPr="00561E6F" w:rsidRDefault="00A02E7F" w:rsidP="006F4C0B">
            <w:pPr>
              <w:rPr>
                <w:rFonts w:cstheme="minorHAnsi"/>
              </w:rPr>
            </w:pPr>
            <w:r w:rsidRPr="00561E6F">
              <w:rPr>
                <w:color w:val="000000" w:themeColor="text1"/>
              </w:rPr>
              <w:t>Single or twin/multiple pregnancy</w:t>
            </w:r>
          </w:p>
        </w:tc>
        <w:tc>
          <w:tcPr>
            <w:tcW w:w="6514" w:type="dxa"/>
          </w:tcPr>
          <w:p w:rsidR="00A02E7F" w:rsidRPr="00561E6F" w:rsidRDefault="00A02E7F" w:rsidP="006F4C0B">
            <w:pPr>
              <w:rPr>
                <w:rFonts w:cstheme="minorHAnsi"/>
              </w:rPr>
            </w:pPr>
          </w:p>
        </w:tc>
      </w:tr>
    </w:tbl>
    <w:p w:rsidR="00A02E7F" w:rsidRPr="00561E6F" w:rsidRDefault="00A02E7F" w:rsidP="00A02E7F">
      <w:pPr>
        <w:spacing w:after="0"/>
        <w:rPr>
          <w:rFonts w:cstheme="minorHAnsi"/>
          <w:sz w:val="8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3821"/>
      </w:tblGrid>
      <w:tr w:rsidR="00A02E7F" w:rsidRPr="00561E6F" w:rsidTr="00561E6F">
        <w:tc>
          <w:tcPr>
            <w:tcW w:w="9770" w:type="dxa"/>
            <w:gridSpan w:val="3"/>
            <w:shd w:val="clear" w:color="auto" w:fill="538135" w:themeFill="accent6" w:themeFillShade="BF"/>
          </w:tcPr>
          <w:p w:rsidR="00A02E7F" w:rsidRPr="00561E6F" w:rsidRDefault="00A02E7F" w:rsidP="006F4C0B">
            <w:pPr>
              <w:rPr>
                <w:rFonts w:cstheme="minorHAnsi"/>
                <w:b/>
                <w:szCs w:val="24"/>
              </w:rPr>
            </w:pPr>
            <w:r w:rsidRPr="00561E6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Additional </w:t>
            </w:r>
            <w:r w:rsidRPr="00561E6F">
              <w:rPr>
                <w:rFonts w:cstheme="minorHAnsi"/>
                <w:b/>
                <w:color w:val="FFFFFF" w:themeColor="background1"/>
                <w:sz w:val="24"/>
                <w:szCs w:val="24"/>
                <w:shd w:val="clear" w:color="auto" w:fill="538135" w:themeFill="accent6" w:themeFillShade="BF"/>
              </w:rPr>
              <w:t>Family Members</w:t>
            </w:r>
            <w:r w:rsidRPr="00561E6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(if any)</w:t>
            </w:r>
          </w:p>
        </w:tc>
      </w:tr>
      <w:tr w:rsidR="00A02E7F" w:rsidRPr="008D194B" w:rsidTr="00561E6F">
        <w:tc>
          <w:tcPr>
            <w:tcW w:w="4531" w:type="dxa"/>
            <w:shd w:val="clear" w:color="auto" w:fill="E2EFD9" w:themeFill="accent6" w:themeFillTint="33"/>
          </w:tcPr>
          <w:p w:rsidR="00A02E7F" w:rsidRPr="008D194B" w:rsidRDefault="00A02E7F" w:rsidP="006F4C0B">
            <w:pPr>
              <w:rPr>
                <w:rFonts w:cstheme="minorHAnsi"/>
                <w:sz w:val="24"/>
                <w:szCs w:val="24"/>
              </w:rPr>
            </w:pPr>
            <w:r w:rsidRPr="008D194B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:rsidR="00A02E7F" w:rsidRPr="008D194B" w:rsidRDefault="00A02E7F" w:rsidP="006F4C0B">
            <w:pPr>
              <w:rPr>
                <w:rFonts w:cstheme="minorHAnsi"/>
                <w:sz w:val="24"/>
                <w:szCs w:val="24"/>
              </w:rPr>
            </w:pPr>
            <w:r w:rsidRPr="008D194B">
              <w:rPr>
                <w:rFonts w:cstheme="minorHAnsi"/>
                <w:sz w:val="24"/>
                <w:szCs w:val="24"/>
              </w:rPr>
              <w:t>ID Number</w:t>
            </w:r>
          </w:p>
        </w:tc>
        <w:tc>
          <w:tcPr>
            <w:tcW w:w="3821" w:type="dxa"/>
            <w:shd w:val="clear" w:color="auto" w:fill="E2EFD9" w:themeFill="accent6" w:themeFillTint="33"/>
          </w:tcPr>
          <w:p w:rsidR="00A02E7F" w:rsidRPr="008D194B" w:rsidRDefault="00A02E7F" w:rsidP="006F4C0B">
            <w:pPr>
              <w:rPr>
                <w:rFonts w:cstheme="minorHAnsi"/>
                <w:sz w:val="24"/>
                <w:szCs w:val="24"/>
              </w:rPr>
            </w:pPr>
            <w:r w:rsidRPr="008D194B">
              <w:rPr>
                <w:rFonts w:cstheme="minorHAnsi"/>
                <w:sz w:val="24"/>
                <w:szCs w:val="24"/>
              </w:rPr>
              <w:t xml:space="preserve">Relationship to </w:t>
            </w:r>
            <w:r>
              <w:rPr>
                <w:rFonts w:cstheme="minorHAnsi"/>
                <w:sz w:val="24"/>
                <w:szCs w:val="24"/>
              </w:rPr>
              <w:t>pregnant woman</w:t>
            </w: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  <w:tr w:rsidR="00A02E7F" w:rsidRPr="008D194B" w:rsidTr="00561E6F">
        <w:trPr>
          <w:trHeight w:val="113"/>
        </w:trPr>
        <w:tc>
          <w:tcPr>
            <w:tcW w:w="453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1418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  <w:tc>
          <w:tcPr>
            <w:tcW w:w="3821" w:type="dxa"/>
          </w:tcPr>
          <w:p w:rsidR="00A02E7F" w:rsidRPr="00561E6F" w:rsidRDefault="00A02E7F" w:rsidP="006F4C0B">
            <w:pPr>
              <w:rPr>
                <w:rFonts w:cstheme="minorHAnsi"/>
                <w:szCs w:val="24"/>
              </w:rPr>
            </w:pPr>
          </w:p>
        </w:tc>
      </w:tr>
    </w:tbl>
    <w:p w:rsidR="00A02E7F" w:rsidRPr="008D194B" w:rsidRDefault="00A02E7F" w:rsidP="00A02E7F">
      <w:pPr>
        <w:spacing w:after="0"/>
        <w:rPr>
          <w:rFonts w:cstheme="minorHAnsi"/>
          <w:sz w:val="24"/>
          <w:szCs w:val="24"/>
        </w:rPr>
      </w:pPr>
    </w:p>
    <w:p w:rsidR="00A02E7F" w:rsidRPr="008D194B" w:rsidRDefault="00A02E7F" w:rsidP="00A02E7F">
      <w:pPr>
        <w:spacing w:after="0" w:line="240" w:lineRule="auto"/>
        <w:rPr>
          <w:rFonts w:cstheme="minorHAnsi"/>
          <w:sz w:val="24"/>
          <w:szCs w:val="24"/>
        </w:rPr>
      </w:pPr>
      <w:r w:rsidRPr="008D194B">
        <w:rPr>
          <w:rFonts w:cstheme="minorHAnsi"/>
          <w:sz w:val="24"/>
          <w:szCs w:val="24"/>
        </w:rPr>
        <w:t>Name of person informing IPAS of pregnancy: ____________________________________________</w:t>
      </w:r>
    </w:p>
    <w:p w:rsidR="00A02E7F" w:rsidRPr="008D194B" w:rsidRDefault="00A02E7F" w:rsidP="00A02E7F">
      <w:pPr>
        <w:spacing w:after="0" w:line="240" w:lineRule="auto"/>
        <w:rPr>
          <w:rFonts w:cstheme="minorHAnsi"/>
          <w:sz w:val="24"/>
          <w:szCs w:val="24"/>
        </w:rPr>
      </w:pPr>
      <w:r w:rsidRPr="008D194B">
        <w:rPr>
          <w:rFonts w:cstheme="minorHAnsi"/>
          <w:sz w:val="24"/>
          <w:szCs w:val="24"/>
        </w:rPr>
        <w:t>Position (e.g. centre manager etc.): _____________________________________________________</w:t>
      </w:r>
    </w:p>
    <w:p w:rsidR="00A02E7F" w:rsidRPr="008D194B" w:rsidRDefault="00A02E7F" w:rsidP="00A02E7F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8D194B">
        <w:rPr>
          <w:rFonts w:cstheme="minorHAnsi"/>
          <w:b/>
          <w:i/>
          <w:sz w:val="24"/>
          <w:szCs w:val="24"/>
        </w:rPr>
        <w:t>I, the resident named above, consent for the details of my pregnancy to be shared with IPAS</w:t>
      </w:r>
    </w:p>
    <w:p w:rsidR="00A02E7F" w:rsidRPr="00A02E7F" w:rsidRDefault="00A02E7F" w:rsidP="00A02E7F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8D194B">
        <w:rPr>
          <w:rFonts w:cstheme="minorHAnsi"/>
          <w:b/>
          <w:i/>
          <w:sz w:val="24"/>
          <w:szCs w:val="24"/>
        </w:rPr>
        <w:t>Signature: _________________________________________</w:t>
      </w:r>
      <w:r>
        <w:rPr>
          <w:rFonts w:cstheme="minorHAnsi"/>
          <w:b/>
          <w:i/>
          <w:sz w:val="24"/>
          <w:szCs w:val="24"/>
        </w:rPr>
        <w:t>__  Date: ___________________</w:t>
      </w:r>
    </w:p>
    <w:p w:rsidR="00FC55D5" w:rsidRPr="00561E6F" w:rsidRDefault="00561E6F" w:rsidP="00561E6F">
      <w:pPr>
        <w:jc w:val="center"/>
        <w:rPr>
          <w:rFonts w:cstheme="minorHAnsi"/>
          <w:color w:val="0563C1" w:themeColor="hyperlink"/>
          <w:sz w:val="24"/>
          <w:szCs w:val="24"/>
          <w:u w:val="single"/>
        </w:rPr>
      </w:pPr>
      <w:r w:rsidRPr="008D194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44" behindDoc="0" locked="0" layoutInCell="1" allowOverlap="1" wp14:anchorId="59251DDA" wp14:editId="7FF72569">
                <wp:simplePos x="0" y="0"/>
                <wp:positionH relativeFrom="margin">
                  <wp:align>left</wp:align>
                </wp:positionH>
                <wp:positionV relativeFrom="paragraph">
                  <wp:posOffset>275810</wp:posOffset>
                </wp:positionV>
                <wp:extent cx="6623050" cy="2329180"/>
                <wp:effectExtent l="19050" t="1905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2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E7F" w:rsidRDefault="00A02E7F" w:rsidP="00A02E7F">
                            <w:r>
                              <w:t>IMPORTANT INFORMATION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>The purpose of this form is to enable IPAS to plan accommodation provisions effectively.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 xml:space="preserve">IPAS will seek new accommodation appropriate to the family size including the new child. 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 xml:space="preserve">IPAS cannot guarantee that new accommodation will be in a similar location to the current accommodation. 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 xml:space="preserve">In cases where a move away from current ante-natal care provider is required, IPAS will notify the HSE as soon as possible to assist in transferring care to new location. 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>IPAS cannot accept requests for specific transfer locations based on employment opportunities, access to education or personal preference.</w:t>
                            </w:r>
                          </w:p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  <w:r>
                              <w:t xml:space="preserve">Transfer requests on the basis of serious medical conditions or complex pregnancies should submitted under the </w:t>
                            </w:r>
                            <w:hyperlink r:id="rId17" w:anchor="page=null" w:history="1">
                              <w:r w:rsidRPr="00B51DCD">
                                <w:rPr>
                                  <w:rStyle w:val="Hyperlink"/>
                                </w:rPr>
                                <w:t>Medical Transfer Protocol</w:t>
                              </w:r>
                            </w:hyperlink>
                          </w:p>
                          <w:p w:rsidR="00A02E7F" w:rsidRDefault="00A02E7F" w:rsidP="00A02E7F"/>
                          <w:p w:rsidR="00A02E7F" w:rsidRDefault="00A02E7F" w:rsidP="00A02E7F"/>
                          <w:p w:rsidR="00A02E7F" w:rsidRDefault="00A02E7F" w:rsidP="00A02E7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1DDA" id="_x0000_s1027" type="#_x0000_t202" style="position:absolute;left:0;text-align:left;margin-left:0;margin-top:21.7pt;width:521.5pt;height:183.4pt;z-index:2516623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" strokeweight="2.25pt">
                <v:textbox>
                  <w:txbxContent>
                    <w:p w:rsidR="00A02E7F" w:rsidRDefault="00A02E7F" w:rsidP="00A02E7F">
                      <w:r>
                        <w:t>IMPORTANT INFORMATION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>The purpose of this form is to enable IPAS to plan accommodation provisions effectively.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 xml:space="preserve">IPAS will seek new accommodation appropriate to the family size including the new child. 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 xml:space="preserve">IPAS cannot guarantee that new accommodation will be in a similar location to the current accommodation. 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 xml:space="preserve">In cases where a move away from current </w:t>
                      </w:r>
                      <w:proofErr w:type="gramStart"/>
                      <w:r>
                        <w:t>ante-natal</w:t>
                      </w:r>
                      <w:proofErr w:type="gramEnd"/>
                      <w:r>
                        <w:t xml:space="preserve"> care provider is required, IPAS will notify the HSE as soon as possible to assist in transferring care to new location. 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>IPAS cannot accept requests for specific transfer locations based on employment opportunities, access to education or personal preference.</w:t>
                      </w:r>
                    </w:p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  <w:r>
                        <w:t xml:space="preserve">Transfer requests on the basis of serious medical conditions or complex pregnancies should submitted under the </w:t>
                      </w:r>
                      <w:hyperlink r:id="rId18" w:anchor="page=null" w:history="1">
                        <w:r w:rsidRPr="00B51DCD">
                          <w:rPr>
                            <w:rStyle w:val="Hyperlink"/>
                          </w:rPr>
                          <w:t>Medical Transfer Protocol</w:t>
                        </w:r>
                      </w:hyperlink>
                    </w:p>
                    <w:p w:rsidR="00A02E7F" w:rsidRDefault="00A02E7F" w:rsidP="00A02E7F"/>
                    <w:p w:rsidR="00A02E7F" w:rsidRDefault="00A02E7F" w:rsidP="00A02E7F"/>
                    <w:p w:rsidR="00A02E7F" w:rsidRDefault="00A02E7F" w:rsidP="00A02E7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160" w:line="259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E7F" w:rsidRPr="008D194B">
        <w:rPr>
          <w:rFonts w:cstheme="minorHAnsi"/>
          <w:sz w:val="24"/>
          <w:szCs w:val="24"/>
        </w:rPr>
        <w:t xml:space="preserve">PLEASE RETURN THIS FORM TO </w:t>
      </w:r>
      <w:hyperlink r:id="rId19" w:history="1">
        <w:r w:rsidR="00A02E7F" w:rsidRPr="008D194B">
          <w:rPr>
            <w:rStyle w:val="Hyperlink"/>
            <w:rFonts w:cstheme="minorHAnsi"/>
            <w:sz w:val="24"/>
            <w:szCs w:val="24"/>
          </w:rPr>
          <w:t>IPASINBOX@EQUALITY.GOV.IE</w:t>
        </w:r>
      </w:hyperlink>
    </w:p>
    <w:sectPr w:rsidR="00FC55D5" w:rsidRPr="00561E6F" w:rsidSect="00A8108D">
      <w:footerReference w:type="even" r:id="rId20"/>
      <w:footerReference w:type="default" r:id="rId21"/>
      <w:footerReference w:type="first" r:id="rId22"/>
      <w:pgSz w:w="11906" w:h="16838"/>
      <w:pgMar w:top="567" w:right="992" w:bottom="408" w:left="1134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58" w:rsidRDefault="002A6F58">
      <w:pPr>
        <w:spacing w:after="0" w:line="240" w:lineRule="auto"/>
      </w:pPr>
      <w:r>
        <w:separator/>
      </w:r>
    </w:p>
  </w:endnote>
  <w:endnote w:type="continuationSeparator" w:id="0">
    <w:p w:rsidR="002A6F58" w:rsidRDefault="002A6F58">
      <w:pPr>
        <w:spacing w:after="0" w:line="240" w:lineRule="auto"/>
      </w:pPr>
      <w:r>
        <w:continuationSeparator/>
      </w:r>
    </w:p>
  </w:endnote>
  <w:endnote w:type="continuationNotice" w:id="1">
    <w:p w:rsidR="002A6F58" w:rsidRDefault="002A6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79" w:rsidRDefault="009D0B79">
    <w:pPr>
      <w:spacing w:after="0" w:line="259" w:lineRule="auto"/>
      <w:ind w:left="0" w:firstLine="0"/>
    </w:pPr>
    <w:r>
      <w:rPr>
        <w:color w:val="80808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6"/>
      </w:rPr>
      <w:t>10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of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NUMPAGES   \* MERGEFORMAT </w:instrText>
    </w:r>
    <w:r>
      <w:rPr>
        <w:color w:val="808080"/>
        <w:sz w:val="16"/>
      </w:rPr>
      <w:fldChar w:fldCharType="separate"/>
    </w:r>
    <w:r w:rsidR="00FC55D5">
      <w:rPr>
        <w:noProof/>
        <w:color w:val="808080"/>
        <w:sz w:val="16"/>
      </w:rPr>
      <w:t>3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79" w:rsidRDefault="009D0B79">
    <w:pPr>
      <w:spacing w:after="0" w:line="259" w:lineRule="auto"/>
      <w:ind w:left="0" w:firstLine="0"/>
    </w:pPr>
    <w:r>
      <w:rPr>
        <w:color w:val="80808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10F8" w:rsidRPr="006610F8">
      <w:rPr>
        <w:noProof/>
        <w:color w:val="808080"/>
        <w:sz w:val="16"/>
      </w:rPr>
      <w:t>1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of </w:t>
    </w:r>
    <w:r>
      <w:rPr>
        <w:noProof/>
        <w:color w:val="808080"/>
        <w:sz w:val="16"/>
      </w:rPr>
      <w:fldChar w:fldCharType="begin"/>
    </w:r>
    <w:r>
      <w:rPr>
        <w:noProof/>
        <w:color w:val="808080"/>
        <w:sz w:val="16"/>
      </w:rPr>
      <w:instrText xml:space="preserve"> NUMPAGES   \* MERGEFORMAT </w:instrText>
    </w:r>
    <w:r>
      <w:rPr>
        <w:noProof/>
        <w:color w:val="808080"/>
        <w:sz w:val="16"/>
      </w:rPr>
      <w:fldChar w:fldCharType="separate"/>
    </w:r>
    <w:r w:rsidR="006610F8">
      <w:rPr>
        <w:noProof/>
        <w:color w:val="808080"/>
        <w:sz w:val="16"/>
      </w:rPr>
      <w:t>5</w:t>
    </w:r>
    <w:r>
      <w:rPr>
        <w:noProof/>
        <w:color w:val="808080"/>
        <w:sz w:val="16"/>
      </w:rPr>
      <w:fldChar w:fldCharType="end"/>
    </w:r>
    <w:r>
      <w:rPr>
        <w:color w:val="80808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B79" w:rsidRDefault="009D0B79">
    <w:pPr>
      <w:spacing w:after="0" w:line="259" w:lineRule="auto"/>
      <w:ind w:left="0" w:firstLine="0"/>
    </w:pPr>
    <w:r>
      <w:rPr>
        <w:color w:val="808080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16"/>
      </w:rPr>
      <w:t>10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of </w:t>
    </w: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NUMPAGES   \* MERGEFORMAT </w:instrText>
    </w:r>
    <w:r>
      <w:rPr>
        <w:color w:val="808080"/>
        <w:sz w:val="16"/>
      </w:rPr>
      <w:fldChar w:fldCharType="separate"/>
    </w:r>
    <w:r w:rsidR="00FC55D5">
      <w:rPr>
        <w:noProof/>
        <w:color w:val="808080"/>
        <w:sz w:val="16"/>
      </w:rPr>
      <w:t>3</w:t>
    </w:r>
    <w:r>
      <w:rPr>
        <w:color w:val="808080"/>
        <w:sz w:val="16"/>
      </w:rPr>
      <w:fldChar w:fldCharType="end"/>
    </w:r>
    <w:r>
      <w:rPr>
        <w:color w:val="80808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58" w:rsidRDefault="002A6F58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2A6F58" w:rsidRDefault="002A6F58">
      <w:pPr>
        <w:spacing w:after="0" w:line="259" w:lineRule="auto"/>
        <w:ind w:left="0" w:firstLine="0"/>
      </w:pPr>
      <w:r>
        <w:continuationSeparator/>
      </w:r>
    </w:p>
  </w:footnote>
  <w:footnote w:type="continuationNotice" w:id="1">
    <w:p w:rsidR="002A6F58" w:rsidRDefault="002A6F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12"/>
    <w:multiLevelType w:val="hybridMultilevel"/>
    <w:tmpl w:val="6EF079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048"/>
    <w:multiLevelType w:val="hybridMultilevel"/>
    <w:tmpl w:val="01DCC0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7CF"/>
    <w:multiLevelType w:val="multilevel"/>
    <w:tmpl w:val="73E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A6B83"/>
    <w:multiLevelType w:val="hybridMultilevel"/>
    <w:tmpl w:val="81B8D64C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1F8E456F"/>
    <w:multiLevelType w:val="hybridMultilevel"/>
    <w:tmpl w:val="F35A7A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72F3"/>
    <w:multiLevelType w:val="hybridMultilevel"/>
    <w:tmpl w:val="2C2C1E2E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27B22114"/>
    <w:multiLevelType w:val="hybridMultilevel"/>
    <w:tmpl w:val="8ABA6D94"/>
    <w:lvl w:ilvl="0" w:tplc="5F98A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91FE4"/>
    <w:multiLevelType w:val="hybridMultilevel"/>
    <w:tmpl w:val="347E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020F"/>
    <w:multiLevelType w:val="hybridMultilevel"/>
    <w:tmpl w:val="5F62C3F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7B7A22"/>
    <w:multiLevelType w:val="hybridMultilevel"/>
    <w:tmpl w:val="95CC2E30"/>
    <w:lvl w:ilvl="0" w:tplc="7422A0A6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4507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B2972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E34B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0F35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240B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E61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081A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4A4C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11072F"/>
    <w:multiLevelType w:val="hybridMultilevel"/>
    <w:tmpl w:val="64822428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53" w:hanging="720"/>
      </w:pPr>
      <w:rPr>
        <w:rFonts w:ascii="Courier New" w:hAnsi="Courier New" w:cs="Courier New" w:hint="default"/>
        <w:color w:val="000000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2F4A6484"/>
    <w:multiLevelType w:val="hybridMultilevel"/>
    <w:tmpl w:val="B9462B78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36273CFE"/>
    <w:multiLevelType w:val="hybridMultilevel"/>
    <w:tmpl w:val="5EA41CF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2205BF"/>
    <w:multiLevelType w:val="hybridMultilevel"/>
    <w:tmpl w:val="1A5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22093"/>
    <w:multiLevelType w:val="multilevel"/>
    <w:tmpl w:val="2EA2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1329A"/>
    <w:multiLevelType w:val="hybridMultilevel"/>
    <w:tmpl w:val="E63296B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A3053"/>
    <w:multiLevelType w:val="hybridMultilevel"/>
    <w:tmpl w:val="1E8C4412"/>
    <w:lvl w:ilvl="0" w:tplc="18090017">
      <w:start w:val="1"/>
      <w:numFmt w:val="lowerLetter"/>
      <w:lvlText w:val="%1)"/>
      <w:lvlJc w:val="left"/>
      <w:pPr>
        <w:ind w:left="1211" w:hanging="360"/>
      </w:p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D0463E4"/>
    <w:multiLevelType w:val="hybridMultilevel"/>
    <w:tmpl w:val="C5AC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158F1"/>
    <w:multiLevelType w:val="hybridMultilevel"/>
    <w:tmpl w:val="C34E3920"/>
    <w:lvl w:ilvl="0" w:tplc="18090017">
      <w:start w:val="1"/>
      <w:numFmt w:val="lowerLetter"/>
      <w:lvlText w:val="%1)"/>
      <w:lvlJc w:val="left"/>
      <w:pPr>
        <w:ind w:left="1211" w:hanging="360"/>
      </w:p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1B95C0D"/>
    <w:multiLevelType w:val="hybridMultilevel"/>
    <w:tmpl w:val="7026F492"/>
    <w:lvl w:ilvl="0" w:tplc="1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31E5BC8"/>
    <w:multiLevelType w:val="hybridMultilevel"/>
    <w:tmpl w:val="93C2E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31383"/>
    <w:multiLevelType w:val="hybridMultilevel"/>
    <w:tmpl w:val="54048E54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C298DA5A">
      <w:numFmt w:val="bullet"/>
      <w:lvlText w:val="-"/>
      <w:lvlJc w:val="left"/>
      <w:pPr>
        <w:ind w:left="2853" w:hanging="720"/>
      </w:pPr>
      <w:rPr>
        <w:rFonts w:ascii="Calibri" w:eastAsia="Calibri" w:hAnsi="Calibri" w:cs="Calibri" w:hint="default"/>
        <w:color w:val="000000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5A146F31"/>
    <w:multiLevelType w:val="hybridMultilevel"/>
    <w:tmpl w:val="1AB2A7FE"/>
    <w:lvl w:ilvl="0" w:tplc="18090017">
      <w:start w:val="1"/>
      <w:numFmt w:val="lowerLetter"/>
      <w:lvlText w:val="%1)"/>
      <w:lvlJc w:val="left"/>
      <w:pPr>
        <w:ind w:left="1211" w:hanging="360"/>
      </w:p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CDA6AB4"/>
    <w:multiLevelType w:val="hybridMultilevel"/>
    <w:tmpl w:val="8CE0F194"/>
    <w:lvl w:ilvl="0" w:tplc="41863FDE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68B5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02EAE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E3D6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219C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4DB7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4EC1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2123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4499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63723D"/>
    <w:multiLevelType w:val="hybridMultilevel"/>
    <w:tmpl w:val="BCBE6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F0807"/>
    <w:multiLevelType w:val="hybridMultilevel"/>
    <w:tmpl w:val="FBD4A9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7452"/>
    <w:multiLevelType w:val="hybridMultilevel"/>
    <w:tmpl w:val="9CE0E06E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53" w:hanging="720"/>
      </w:pPr>
      <w:rPr>
        <w:rFonts w:ascii="Courier New" w:hAnsi="Courier New" w:cs="Courier New" w:hint="default"/>
        <w:color w:val="000000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7" w15:restartNumberingAfterBreak="0">
    <w:nsid w:val="681655D6"/>
    <w:multiLevelType w:val="hybridMultilevel"/>
    <w:tmpl w:val="52D082CE"/>
    <w:lvl w:ilvl="0" w:tplc="180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8" w15:restartNumberingAfterBreak="0">
    <w:nsid w:val="69012994"/>
    <w:multiLevelType w:val="hybridMultilevel"/>
    <w:tmpl w:val="FFC6FF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E304A"/>
    <w:multiLevelType w:val="hybridMultilevel"/>
    <w:tmpl w:val="9C7008AA"/>
    <w:lvl w:ilvl="0" w:tplc="180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0" w15:restartNumberingAfterBreak="0">
    <w:nsid w:val="6CE71703"/>
    <w:multiLevelType w:val="hybridMultilevel"/>
    <w:tmpl w:val="1A3E27F4"/>
    <w:lvl w:ilvl="0" w:tplc="18090017">
      <w:start w:val="1"/>
      <w:numFmt w:val="lowerLetter"/>
      <w:lvlText w:val="%1)"/>
      <w:lvlJc w:val="left"/>
      <w:pPr>
        <w:ind w:left="1211" w:hanging="360"/>
      </w:pPr>
    </w:lvl>
    <w:lvl w:ilvl="1" w:tplc="18090019" w:tentative="1">
      <w:start w:val="1"/>
      <w:numFmt w:val="lowerLetter"/>
      <w:lvlText w:val="%2."/>
      <w:lvlJc w:val="left"/>
      <w:pPr>
        <w:ind w:left="1931" w:hanging="360"/>
      </w:pPr>
    </w:lvl>
    <w:lvl w:ilvl="2" w:tplc="1809001B" w:tentative="1">
      <w:start w:val="1"/>
      <w:numFmt w:val="lowerRoman"/>
      <w:lvlText w:val="%3."/>
      <w:lvlJc w:val="right"/>
      <w:pPr>
        <w:ind w:left="2651" w:hanging="180"/>
      </w:pPr>
    </w:lvl>
    <w:lvl w:ilvl="3" w:tplc="1809000F" w:tentative="1">
      <w:start w:val="1"/>
      <w:numFmt w:val="decimal"/>
      <w:lvlText w:val="%4."/>
      <w:lvlJc w:val="left"/>
      <w:pPr>
        <w:ind w:left="3371" w:hanging="360"/>
      </w:pPr>
    </w:lvl>
    <w:lvl w:ilvl="4" w:tplc="18090019" w:tentative="1">
      <w:start w:val="1"/>
      <w:numFmt w:val="lowerLetter"/>
      <w:lvlText w:val="%5."/>
      <w:lvlJc w:val="left"/>
      <w:pPr>
        <w:ind w:left="4091" w:hanging="360"/>
      </w:pPr>
    </w:lvl>
    <w:lvl w:ilvl="5" w:tplc="1809001B" w:tentative="1">
      <w:start w:val="1"/>
      <w:numFmt w:val="lowerRoman"/>
      <w:lvlText w:val="%6."/>
      <w:lvlJc w:val="right"/>
      <w:pPr>
        <w:ind w:left="4811" w:hanging="180"/>
      </w:pPr>
    </w:lvl>
    <w:lvl w:ilvl="6" w:tplc="1809000F" w:tentative="1">
      <w:start w:val="1"/>
      <w:numFmt w:val="decimal"/>
      <w:lvlText w:val="%7."/>
      <w:lvlJc w:val="left"/>
      <w:pPr>
        <w:ind w:left="5531" w:hanging="360"/>
      </w:pPr>
    </w:lvl>
    <w:lvl w:ilvl="7" w:tplc="18090019" w:tentative="1">
      <w:start w:val="1"/>
      <w:numFmt w:val="lowerLetter"/>
      <w:lvlText w:val="%8."/>
      <w:lvlJc w:val="left"/>
      <w:pPr>
        <w:ind w:left="6251" w:hanging="360"/>
      </w:pPr>
    </w:lvl>
    <w:lvl w:ilvl="8" w:tplc="1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1541E2"/>
    <w:multiLevelType w:val="hybridMultilevel"/>
    <w:tmpl w:val="9CBC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92940"/>
    <w:multiLevelType w:val="hybridMultilevel"/>
    <w:tmpl w:val="6D3896B8"/>
    <w:lvl w:ilvl="0" w:tplc="1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CE72A3"/>
    <w:multiLevelType w:val="hybridMultilevel"/>
    <w:tmpl w:val="74D6C1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90382"/>
    <w:multiLevelType w:val="multilevel"/>
    <w:tmpl w:val="466CF31A"/>
    <w:lvl w:ilvl="0">
      <w:start w:val="1"/>
      <w:numFmt w:val="decimal"/>
      <w:pStyle w:val="ProcurementHeading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rocurementnumberedlist"/>
      <w:lvlText w:val="%1.%2."/>
      <w:lvlJc w:val="left"/>
      <w:pPr>
        <w:ind w:left="716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CA45A8"/>
    <w:multiLevelType w:val="hybridMultilevel"/>
    <w:tmpl w:val="FDE84C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51968"/>
    <w:multiLevelType w:val="hybridMultilevel"/>
    <w:tmpl w:val="B148C21E"/>
    <w:lvl w:ilvl="0" w:tplc="5F98A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15DC"/>
    <w:multiLevelType w:val="hybridMultilevel"/>
    <w:tmpl w:val="8DB26E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34"/>
  </w:num>
  <w:num w:numId="4">
    <w:abstractNumId w:val="32"/>
  </w:num>
  <w:num w:numId="5">
    <w:abstractNumId w:val="27"/>
  </w:num>
  <w:num w:numId="6">
    <w:abstractNumId w:val="11"/>
  </w:num>
  <w:num w:numId="7">
    <w:abstractNumId w:val="3"/>
  </w:num>
  <w:num w:numId="8">
    <w:abstractNumId w:val="28"/>
  </w:num>
  <w:num w:numId="9">
    <w:abstractNumId w:val="21"/>
  </w:num>
  <w:num w:numId="10">
    <w:abstractNumId w:val="29"/>
  </w:num>
  <w:num w:numId="11">
    <w:abstractNumId w:val="33"/>
  </w:num>
  <w:num w:numId="12">
    <w:abstractNumId w:val="36"/>
  </w:num>
  <w:num w:numId="13">
    <w:abstractNumId w:val="2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24"/>
  </w:num>
  <w:num w:numId="19">
    <w:abstractNumId w:val="5"/>
  </w:num>
  <w:num w:numId="20">
    <w:abstractNumId w:val="7"/>
  </w:num>
  <w:num w:numId="21">
    <w:abstractNumId w:val="31"/>
  </w:num>
  <w:num w:numId="22">
    <w:abstractNumId w:val="34"/>
    <w:lvlOverride w:ilvl="0">
      <w:startOverride w:val="7"/>
    </w:lvlOverride>
  </w:num>
  <w:num w:numId="23">
    <w:abstractNumId w:val="4"/>
  </w:num>
  <w:num w:numId="24">
    <w:abstractNumId w:val="10"/>
  </w:num>
  <w:num w:numId="25">
    <w:abstractNumId w:val="26"/>
  </w:num>
  <w:num w:numId="26">
    <w:abstractNumId w:val="20"/>
  </w:num>
  <w:num w:numId="27">
    <w:abstractNumId w:val="17"/>
  </w:num>
  <w:num w:numId="28">
    <w:abstractNumId w:val="34"/>
  </w:num>
  <w:num w:numId="29">
    <w:abstractNumId w:val="34"/>
  </w:num>
  <w:num w:numId="30">
    <w:abstractNumId w:val="8"/>
  </w:num>
  <w:num w:numId="31">
    <w:abstractNumId w:val="0"/>
  </w:num>
  <w:num w:numId="32">
    <w:abstractNumId w:val="34"/>
  </w:num>
  <w:num w:numId="33">
    <w:abstractNumId w:val="34"/>
  </w:num>
  <w:num w:numId="34">
    <w:abstractNumId w:val="34"/>
  </w:num>
  <w:num w:numId="35">
    <w:abstractNumId w:val="34"/>
  </w:num>
  <w:num w:numId="36">
    <w:abstractNumId w:val="1"/>
  </w:num>
  <w:num w:numId="37">
    <w:abstractNumId w:val="35"/>
  </w:num>
  <w:num w:numId="38">
    <w:abstractNumId w:val="15"/>
  </w:num>
  <w:num w:numId="39">
    <w:abstractNumId w:val="19"/>
  </w:num>
  <w:num w:numId="40">
    <w:abstractNumId w:val="37"/>
  </w:num>
  <w:num w:numId="41">
    <w:abstractNumId w:val="25"/>
  </w:num>
  <w:num w:numId="42">
    <w:abstractNumId w:val="18"/>
  </w:num>
  <w:num w:numId="43">
    <w:abstractNumId w:val="30"/>
  </w:num>
  <w:num w:numId="44">
    <w:abstractNumId w:val="22"/>
  </w:num>
  <w:num w:numId="4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D5"/>
    <w:rsid w:val="0000125A"/>
    <w:rsid w:val="000043A1"/>
    <w:rsid w:val="00012D65"/>
    <w:rsid w:val="00017656"/>
    <w:rsid w:val="000254D5"/>
    <w:rsid w:val="00025CCF"/>
    <w:rsid w:val="000263C9"/>
    <w:rsid w:val="00026D93"/>
    <w:rsid w:val="000341D5"/>
    <w:rsid w:val="00035076"/>
    <w:rsid w:val="00045AB9"/>
    <w:rsid w:val="00045AE0"/>
    <w:rsid w:val="000465B3"/>
    <w:rsid w:val="00046FC1"/>
    <w:rsid w:val="00050F8C"/>
    <w:rsid w:val="000532D8"/>
    <w:rsid w:val="00055550"/>
    <w:rsid w:val="000561CC"/>
    <w:rsid w:val="0005686A"/>
    <w:rsid w:val="00064E56"/>
    <w:rsid w:val="00066900"/>
    <w:rsid w:val="00067112"/>
    <w:rsid w:val="00073CBC"/>
    <w:rsid w:val="00077019"/>
    <w:rsid w:val="0008472F"/>
    <w:rsid w:val="00086D47"/>
    <w:rsid w:val="00087D3D"/>
    <w:rsid w:val="000912D5"/>
    <w:rsid w:val="00095EB7"/>
    <w:rsid w:val="000A1368"/>
    <w:rsid w:val="000B3A10"/>
    <w:rsid w:val="000B5B9D"/>
    <w:rsid w:val="000B65CD"/>
    <w:rsid w:val="000C2851"/>
    <w:rsid w:val="000C3325"/>
    <w:rsid w:val="000D0294"/>
    <w:rsid w:val="000D1C94"/>
    <w:rsid w:val="000D2E01"/>
    <w:rsid w:val="000D3FC8"/>
    <w:rsid w:val="000D522E"/>
    <w:rsid w:val="000D5E58"/>
    <w:rsid w:val="000E0F81"/>
    <w:rsid w:val="000E10EE"/>
    <w:rsid w:val="000E38A9"/>
    <w:rsid w:val="000E66C5"/>
    <w:rsid w:val="000E7D3E"/>
    <w:rsid w:val="000F15CE"/>
    <w:rsid w:val="00100A89"/>
    <w:rsid w:val="00101C25"/>
    <w:rsid w:val="00111E06"/>
    <w:rsid w:val="0012009F"/>
    <w:rsid w:val="00122033"/>
    <w:rsid w:val="00123580"/>
    <w:rsid w:val="00124FA5"/>
    <w:rsid w:val="001256CF"/>
    <w:rsid w:val="001266AF"/>
    <w:rsid w:val="00132E1F"/>
    <w:rsid w:val="0014151F"/>
    <w:rsid w:val="00141A91"/>
    <w:rsid w:val="0014462E"/>
    <w:rsid w:val="0015054A"/>
    <w:rsid w:val="00151231"/>
    <w:rsid w:val="001527D4"/>
    <w:rsid w:val="00153E6B"/>
    <w:rsid w:val="00153F72"/>
    <w:rsid w:val="00163874"/>
    <w:rsid w:val="00165AE9"/>
    <w:rsid w:val="00165C2C"/>
    <w:rsid w:val="00166F7F"/>
    <w:rsid w:val="00166F9A"/>
    <w:rsid w:val="00170C05"/>
    <w:rsid w:val="0017108C"/>
    <w:rsid w:val="001757DD"/>
    <w:rsid w:val="00180994"/>
    <w:rsid w:val="0018140B"/>
    <w:rsid w:val="001816EA"/>
    <w:rsid w:val="001849F7"/>
    <w:rsid w:val="001855D5"/>
    <w:rsid w:val="00186805"/>
    <w:rsid w:val="001929A9"/>
    <w:rsid w:val="00195C99"/>
    <w:rsid w:val="00196E68"/>
    <w:rsid w:val="00197E4D"/>
    <w:rsid w:val="001A3B91"/>
    <w:rsid w:val="001A4B4B"/>
    <w:rsid w:val="001A5DF0"/>
    <w:rsid w:val="001A6D47"/>
    <w:rsid w:val="001B0776"/>
    <w:rsid w:val="001B38C8"/>
    <w:rsid w:val="001B4DA5"/>
    <w:rsid w:val="001C0793"/>
    <w:rsid w:val="001C1C9A"/>
    <w:rsid w:val="001C30A5"/>
    <w:rsid w:val="001D3676"/>
    <w:rsid w:val="001D507B"/>
    <w:rsid w:val="001D633F"/>
    <w:rsid w:val="001E1EDE"/>
    <w:rsid w:val="001E4BEE"/>
    <w:rsid w:val="001F1B6F"/>
    <w:rsid w:val="001F1FB5"/>
    <w:rsid w:val="001F2FE4"/>
    <w:rsid w:val="001F4432"/>
    <w:rsid w:val="001F5BA4"/>
    <w:rsid w:val="001F5D4D"/>
    <w:rsid w:val="00204949"/>
    <w:rsid w:val="00212B9B"/>
    <w:rsid w:val="002163C6"/>
    <w:rsid w:val="00224BDE"/>
    <w:rsid w:val="00240DC2"/>
    <w:rsid w:val="00241523"/>
    <w:rsid w:val="00241E8E"/>
    <w:rsid w:val="00242473"/>
    <w:rsid w:val="0025380F"/>
    <w:rsid w:val="00253E0E"/>
    <w:rsid w:val="00256900"/>
    <w:rsid w:val="00257790"/>
    <w:rsid w:val="00262D2B"/>
    <w:rsid w:val="00262DD8"/>
    <w:rsid w:val="00264672"/>
    <w:rsid w:val="00264F3D"/>
    <w:rsid w:val="002653EA"/>
    <w:rsid w:val="002661AE"/>
    <w:rsid w:val="00267513"/>
    <w:rsid w:val="002679C5"/>
    <w:rsid w:val="00267F64"/>
    <w:rsid w:val="00281A9F"/>
    <w:rsid w:val="00282B6D"/>
    <w:rsid w:val="00290093"/>
    <w:rsid w:val="0029055E"/>
    <w:rsid w:val="002909A9"/>
    <w:rsid w:val="00290E29"/>
    <w:rsid w:val="002A1B44"/>
    <w:rsid w:val="002A6F58"/>
    <w:rsid w:val="002B1227"/>
    <w:rsid w:val="002B135B"/>
    <w:rsid w:val="002B47DA"/>
    <w:rsid w:val="002C6B5E"/>
    <w:rsid w:val="002D20FD"/>
    <w:rsid w:val="002D78D7"/>
    <w:rsid w:val="002E53AC"/>
    <w:rsid w:val="002E5646"/>
    <w:rsid w:val="002E58A9"/>
    <w:rsid w:val="002E5C17"/>
    <w:rsid w:val="002E75B1"/>
    <w:rsid w:val="002F444B"/>
    <w:rsid w:val="002F752A"/>
    <w:rsid w:val="00301582"/>
    <w:rsid w:val="00303360"/>
    <w:rsid w:val="0030484F"/>
    <w:rsid w:val="00321572"/>
    <w:rsid w:val="00325BD9"/>
    <w:rsid w:val="003269A0"/>
    <w:rsid w:val="00327D76"/>
    <w:rsid w:val="00330717"/>
    <w:rsid w:val="003318CE"/>
    <w:rsid w:val="003356EB"/>
    <w:rsid w:val="003361AB"/>
    <w:rsid w:val="0034277B"/>
    <w:rsid w:val="00342AF7"/>
    <w:rsid w:val="003826AC"/>
    <w:rsid w:val="003830D4"/>
    <w:rsid w:val="003858B0"/>
    <w:rsid w:val="00390D36"/>
    <w:rsid w:val="00392F0F"/>
    <w:rsid w:val="003A44E9"/>
    <w:rsid w:val="003A667F"/>
    <w:rsid w:val="003B3634"/>
    <w:rsid w:val="003B6F11"/>
    <w:rsid w:val="003B7A11"/>
    <w:rsid w:val="003C0561"/>
    <w:rsid w:val="003D1DFF"/>
    <w:rsid w:val="003D212B"/>
    <w:rsid w:val="003D52EF"/>
    <w:rsid w:val="003E09C0"/>
    <w:rsid w:val="003E1F57"/>
    <w:rsid w:val="003E2C60"/>
    <w:rsid w:val="003E63D6"/>
    <w:rsid w:val="003F2C9F"/>
    <w:rsid w:val="003F34FA"/>
    <w:rsid w:val="003F5363"/>
    <w:rsid w:val="00400C2E"/>
    <w:rsid w:val="004025C5"/>
    <w:rsid w:val="00407792"/>
    <w:rsid w:val="004117A3"/>
    <w:rsid w:val="00412FA5"/>
    <w:rsid w:val="0041637F"/>
    <w:rsid w:val="00416AF9"/>
    <w:rsid w:val="004244C0"/>
    <w:rsid w:val="004269A6"/>
    <w:rsid w:val="004275E7"/>
    <w:rsid w:val="00427FB9"/>
    <w:rsid w:val="00436F63"/>
    <w:rsid w:val="00440FE6"/>
    <w:rsid w:val="004454C2"/>
    <w:rsid w:val="00445E6C"/>
    <w:rsid w:val="00451AAF"/>
    <w:rsid w:val="00461D02"/>
    <w:rsid w:val="00463AB8"/>
    <w:rsid w:val="00463E19"/>
    <w:rsid w:val="00465499"/>
    <w:rsid w:val="00466EBE"/>
    <w:rsid w:val="00467457"/>
    <w:rsid w:val="00470A19"/>
    <w:rsid w:val="00474008"/>
    <w:rsid w:val="004752D3"/>
    <w:rsid w:val="00477D9E"/>
    <w:rsid w:val="0048019A"/>
    <w:rsid w:val="004813BB"/>
    <w:rsid w:val="004836F3"/>
    <w:rsid w:val="004842F7"/>
    <w:rsid w:val="004854E8"/>
    <w:rsid w:val="00495CCD"/>
    <w:rsid w:val="004A40BE"/>
    <w:rsid w:val="004A4170"/>
    <w:rsid w:val="004A4C5B"/>
    <w:rsid w:val="004B2AE2"/>
    <w:rsid w:val="004C0D8A"/>
    <w:rsid w:val="004C3D66"/>
    <w:rsid w:val="004C4745"/>
    <w:rsid w:val="004C592E"/>
    <w:rsid w:val="004D142F"/>
    <w:rsid w:val="004D3071"/>
    <w:rsid w:val="004D52A7"/>
    <w:rsid w:val="004E1471"/>
    <w:rsid w:val="004F18D6"/>
    <w:rsid w:val="0050545B"/>
    <w:rsid w:val="00506AFE"/>
    <w:rsid w:val="0051202F"/>
    <w:rsid w:val="00515AB9"/>
    <w:rsid w:val="005221DE"/>
    <w:rsid w:val="00525233"/>
    <w:rsid w:val="0054269F"/>
    <w:rsid w:val="00542ED2"/>
    <w:rsid w:val="00543B31"/>
    <w:rsid w:val="005459EB"/>
    <w:rsid w:val="00547B5E"/>
    <w:rsid w:val="005520C0"/>
    <w:rsid w:val="0056068E"/>
    <w:rsid w:val="00561E6F"/>
    <w:rsid w:val="00564F4D"/>
    <w:rsid w:val="00566903"/>
    <w:rsid w:val="00571C64"/>
    <w:rsid w:val="00572A90"/>
    <w:rsid w:val="00573286"/>
    <w:rsid w:val="005733DC"/>
    <w:rsid w:val="00575C1B"/>
    <w:rsid w:val="0057728B"/>
    <w:rsid w:val="00581F97"/>
    <w:rsid w:val="00583814"/>
    <w:rsid w:val="00585EA6"/>
    <w:rsid w:val="00586451"/>
    <w:rsid w:val="00595D3E"/>
    <w:rsid w:val="005A20CC"/>
    <w:rsid w:val="005A3077"/>
    <w:rsid w:val="005B0552"/>
    <w:rsid w:val="005B3E41"/>
    <w:rsid w:val="005C01C3"/>
    <w:rsid w:val="005C18F9"/>
    <w:rsid w:val="005C4785"/>
    <w:rsid w:val="005D3F4E"/>
    <w:rsid w:val="005E1A48"/>
    <w:rsid w:val="005E54F2"/>
    <w:rsid w:val="005F4FAF"/>
    <w:rsid w:val="0060010F"/>
    <w:rsid w:val="006070CC"/>
    <w:rsid w:val="00611495"/>
    <w:rsid w:val="00611B3D"/>
    <w:rsid w:val="00613731"/>
    <w:rsid w:val="00617347"/>
    <w:rsid w:val="00621356"/>
    <w:rsid w:val="0062309E"/>
    <w:rsid w:val="00643E20"/>
    <w:rsid w:val="00644CBA"/>
    <w:rsid w:val="00646B77"/>
    <w:rsid w:val="0065033F"/>
    <w:rsid w:val="00655243"/>
    <w:rsid w:val="00660021"/>
    <w:rsid w:val="006610F8"/>
    <w:rsid w:val="00663063"/>
    <w:rsid w:val="00663A0C"/>
    <w:rsid w:val="00666568"/>
    <w:rsid w:val="00670752"/>
    <w:rsid w:val="0067162A"/>
    <w:rsid w:val="006731FC"/>
    <w:rsid w:val="006905FF"/>
    <w:rsid w:val="00693412"/>
    <w:rsid w:val="00693E9F"/>
    <w:rsid w:val="006949C0"/>
    <w:rsid w:val="00697787"/>
    <w:rsid w:val="006A7B90"/>
    <w:rsid w:val="006B20A9"/>
    <w:rsid w:val="006B2436"/>
    <w:rsid w:val="006B3C7B"/>
    <w:rsid w:val="006C2098"/>
    <w:rsid w:val="006C37B0"/>
    <w:rsid w:val="006E2C05"/>
    <w:rsid w:val="006E7464"/>
    <w:rsid w:val="006F1534"/>
    <w:rsid w:val="006F178F"/>
    <w:rsid w:val="006F66D4"/>
    <w:rsid w:val="006F73CA"/>
    <w:rsid w:val="0070161B"/>
    <w:rsid w:val="00703A59"/>
    <w:rsid w:val="00713AE6"/>
    <w:rsid w:val="00716D62"/>
    <w:rsid w:val="00717673"/>
    <w:rsid w:val="0072190F"/>
    <w:rsid w:val="007244C9"/>
    <w:rsid w:val="00735332"/>
    <w:rsid w:val="00737E43"/>
    <w:rsid w:val="007417B7"/>
    <w:rsid w:val="00745307"/>
    <w:rsid w:val="00755B74"/>
    <w:rsid w:val="00757592"/>
    <w:rsid w:val="00765A79"/>
    <w:rsid w:val="00765ABF"/>
    <w:rsid w:val="00771130"/>
    <w:rsid w:val="007721A6"/>
    <w:rsid w:val="00774994"/>
    <w:rsid w:val="00775D26"/>
    <w:rsid w:val="007811A8"/>
    <w:rsid w:val="00781C0C"/>
    <w:rsid w:val="00787607"/>
    <w:rsid w:val="0079216A"/>
    <w:rsid w:val="00793264"/>
    <w:rsid w:val="00793B18"/>
    <w:rsid w:val="00796F9D"/>
    <w:rsid w:val="007A1DC7"/>
    <w:rsid w:val="007A4574"/>
    <w:rsid w:val="007A59B2"/>
    <w:rsid w:val="007B208E"/>
    <w:rsid w:val="007B4E0D"/>
    <w:rsid w:val="007B6D55"/>
    <w:rsid w:val="007C0EA4"/>
    <w:rsid w:val="007C2514"/>
    <w:rsid w:val="007D4B96"/>
    <w:rsid w:val="007E0976"/>
    <w:rsid w:val="007E60F7"/>
    <w:rsid w:val="007F21C0"/>
    <w:rsid w:val="007F3C5E"/>
    <w:rsid w:val="00800644"/>
    <w:rsid w:val="00813AE5"/>
    <w:rsid w:val="00826331"/>
    <w:rsid w:val="00826D1F"/>
    <w:rsid w:val="00832B61"/>
    <w:rsid w:val="008449B2"/>
    <w:rsid w:val="00844F7C"/>
    <w:rsid w:val="00846569"/>
    <w:rsid w:val="0085030C"/>
    <w:rsid w:val="00854B05"/>
    <w:rsid w:val="008557C5"/>
    <w:rsid w:val="00856C37"/>
    <w:rsid w:val="008679FE"/>
    <w:rsid w:val="00873333"/>
    <w:rsid w:val="008757D5"/>
    <w:rsid w:val="00876CD4"/>
    <w:rsid w:val="00890CE7"/>
    <w:rsid w:val="0089460F"/>
    <w:rsid w:val="008A5C52"/>
    <w:rsid w:val="008A715D"/>
    <w:rsid w:val="008B3080"/>
    <w:rsid w:val="008C2C67"/>
    <w:rsid w:val="008C71C7"/>
    <w:rsid w:val="008D025A"/>
    <w:rsid w:val="008D5144"/>
    <w:rsid w:val="008D777B"/>
    <w:rsid w:val="008E13D1"/>
    <w:rsid w:val="008E3C37"/>
    <w:rsid w:val="008E49B7"/>
    <w:rsid w:val="008E6C4A"/>
    <w:rsid w:val="008F4437"/>
    <w:rsid w:val="00906FAC"/>
    <w:rsid w:val="00907397"/>
    <w:rsid w:val="009128CE"/>
    <w:rsid w:val="00920CA6"/>
    <w:rsid w:val="009243CB"/>
    <w:rsid w:val="00924411"/>
    <w:rsid w:val="0092633F"/>
    <w:rsid w:val="00926977"/>
    <w:rsid w:val="00926FB4"/>
    <w:rsid w:val="00935206"/>
    <w:rsid w:val="00940E88"/>
    <w:rsid w:val="00942556"/>
    <w:rsid w:val="0094477E"/>
    <w:rsid w:val="009457CD"/>
    <w:rsid w:val="00946B8D"/>
    <w:rsid w:val="0095159E"/>
    <w:rsid w:val="00956ED2"/>
    <w:rsid w:val="00957834"/>
    <w:rsid w:val="00957F35"/>
    <w:rsid w:val="00961990"/>
    <w:rsid w:val="009644F5"/>
    <w:rsid w:val="009711F2"/>
    <w:rsid w:val="00971B2B"/>
    <w:rsid w:val="00976C50"/>
    <w:rsid w:val="00980552"/>
    <w:rsid w:val="0098073F"/>
    <w:rsid w:val="00981AD9"/>
    <w:rsid w:val="00986422"/>
    <w:rsid w:val="00987477"/>
    <w:rsid w:val="0098792E"/>
    <w:rsid w:val="00991B7D"/>
    <w:rsid w:val="009944E1"/>
    <w:rsid w:val="009979FE"/>
    <w:rsid w:val="009A0356"/>
    <w:rsid w:val="009A0606"/>
    <w:rsid w:val="009A69D4"/>
    <w:rsid w:val="009B3D4C"/>
    <w:rsid w:val="009B61A3"/>
    <w:rsid w:val="009B66B0"/>
    <w:rsid w:val="009B7B55"/>
    <w:rsid w:val="009C0B05"/>
    <w:rsid w:val="009D0B79"/>
    <w:rsid w:val="009D2695"/>
    <w:rsid w:val="009D2E70"/>
    <w:rsid w:val="009D2F13"/>
    <w:rsid w:val="009D6D46"/>
    <w:rsid w:val="009D7D91"/>
    <w:rsid w:val="009D7E18"/>
    <w:rsid w:val="009E2AD3"/>
    <w:rsid w:val="009E58B6"/>
    <w:rsid w:val="009F3254"/>
    <w:rsid w:val="009F693F"/>
    <w:rsid w:val="00A01E89"/>
    <w:rsid w:val="00A02E7F"/>
    <w:rsid w:val="00A05904"/>
    <w:rsid w:val="00A06B06"/>
    <w:rsid w:val="00A210E6"/>
    <w:rsid w:val="00A22EDF"/>
    <w:rsid w:val="00A22F33"/>
    <w:rsid w:val="00A30F46"/>
    <w:rsid w:val="00A31D6E"/>
    <w:rsid w:val="00A32563"/>
    <w:rsid w:val="00A32905"/>
    <w:rsid w:val="00A35F3B"/>
    <w:rsid w:val="00A433C9"/>
    <w:rsid w:val="00A46658"/>
    <w:rsid w:val="00A51133"/>
    <w:rsid w:val="00A53C14"/>
    <w:rsid w:val="00A53E3F"/>
    <w:rsid w:val="00A616DE"/>
    <w:rsid w:val="00A705B4"/>
    <w:rsid w:val="00A75AB0"/>
    <w:rsid w:val="00A8052E"/>
    <w:rsid w:val="00A8108D"/>
    <w:rsid w:val="00A95662"/>
    <w:rsid w:val="00AA22D7"/>
    <w:rsid w:val="00AA3DFA"/>
    <w:rsid w:val="00AA62C6"/>
    <w:rsid w:val="00AB375B"/>
    <w:rsid w:val="00AB533D"/>
    <w:rsid w:val="00AB70F7"/>
    <w:rsid w:val="00AC0908"/>
    <w:rsid w:val="00AC17AC"/>
    <w:rsid w:val="00AC3211"/>
    <w:rsid w:val="00AC392A"/>
    <w:rsid w:val="00AC5DCA"/>
    <w:rsid w:val="00AD1514"/>
    <w:rsid w:val="00AD1F89"/>
    <w:rsid w:val="00AD5D17"/>
    <w:rsid w:val="00AF4F7B"/>
    <w:rsid w:val="00AF4FFA"/>
    <w:rsid w:val="00AF58FD"/>
    <w:rsid w:val="00AF719C"/>
    <w:rsid w:val="00AF7DB0"/>
    <w:rsid w:val="00B03CB1"/>
    <w:rsid w:val="00B03DA6"/>
    <w:rsid w:val="00B11267"/>
    <w:rsid w:val="00B1243C"/>
    <w:rsid w:val="00B137FD"/>
    <w:rsid w:val="00B14A4F"/>
    <w:rsid w:val="00B2201C"/>
    <w:rsid w:val="00B26316"/>
    <w:rsid w:val="00B26373"/>
    <w:rsid w:val="00B267FA"/>
    <w:rsid w:val="00B27AC4"/>
    <w:rsid w:val="00B3216D"/>
    <w:rsid w:val="00B3232B"/>
    <w:rsid w:val="00B34715"/>
    <w:rsid w:val="00B35A10"/>
    <w:rsid w:val="00B366DA"/>
    <w:rsid w:val="00B40923"/>
    <w:rsid w:val="00B40F32"/>
    <w:rsid w:val="00B51040"/>
    <w:rsid w:val="00B56B61"/>
    <w:rsid w:val="00B600C4"/>
    <w:rsid w:val="00B720EB"/>
    <w:rsid w:val="00B72C21"/>
    <w:rsid w:val="00B77A65"/>
    <w:rsid w:val="00B8070D"/>
    <w:rsid w:val="00B809E9"/>
    <w:rsid w:val="00B810AD"/>
    <w:rsid w:val="00B829F6"/>
    <w:rsid w:val="00B85DDD"/>
    <w:rsid w:val="00B87094"/>
    <w:rsid w:val="00B90A73"/>
    <w:rsid w:val="00B9219F"/>
    <w:rsid w:val="00B94BE9"/>
    <w:rsid w:val="00BA0002"/>
    <w:rsid w:val="00BA1FDE"/>
    <w:rsid w:val="00BA2123"/>
    <w:rsid w:val="00BA4E97"/>
    <w:rsid w:val="00BA5DBF"/>
    <w:rsid w:val="00BA6AC2"/>
    <w:rsid w:val="00BA75E8"/>
    <w:rsid w:val="00BA795C"/>
    <w:rsid w:val="00BB09E2"/>
    <w:rsid w:val="00BB3EB1"/>
    <w:rsid w:val="00BB4896"/>
    <w:rsid w:val="00BB4C5B"/>
    <w:rsid w:val="00BC1F6C"/>
    <w:rsid w:val="00BD06CD"/>
    <w:rsid w:val="00BD1968"/>
    <w:rsid w:val="00BD20E1"/>
    <w:rsid w:val="00BD284A"/>
    <w:rsid w:val="00BD3A47"/>
    <w:rsid w:val="00BD692B"/>
    <w:rsid w:val="00BF117C"/>
    <w:rsid w:val="00C027CE"/>
    <w:rsid w:val="00C03919"/>
    <w:rsid w:val="00C04CBB"/>
    <w:rsid w:val="00C149A2"/>
    <w:rsid w:val="00C16CA7"/>
    <w:rsid w:val="00C179D1"/>
    <w:rsid w:val="00C217CC"/>
    <w:rsid w:val="00C23BF9"/>
    <w:rsid w:val="00C3171D"/>
    <w:rsid w:val="00C35348"/>
    <w:rsid w:val="00C405CD"/>
    <w:rsid w:val="00C41D18"/>
    <w:rsid w:val="00C42521"/>
    <w:rsid w:val="00C445C7"/>
    <w:rsid w:val="00C479F8"/>
    <w:rsid w:val="00C5150B"/>
    <w:rsid w:val="00C57797"/>
    <w:rsid w:val="00C62A19"/>
    <w:rsid w:val="00C65DE4"/>
    <w:rsid w:val="00C66CFA"/>
    <w:rsid w:val="00C70773"/>
    <w:rsid w:val="00C80CDB"/>
    <w:rsid w:val="00C865C6"/>
    <w:rsid w:val="00C94C60"/>
    <w:rsid w:val="00C95F36"/>
    <w:rsid w:val="00CA1765"/>
    <w:rsid w:val="00CA5A0D"/>
    <w:rsid w:val="00CA6A3D"/>
    <w:rsid w:val="00CA6EC2"/>
    <w:rsid w:val="00CB0F71"/>
    <w:rsid w:val="00CB102B"/>
    <w:rsid w:val="00CB51D5"/>
    <w:rsid w:val="00CB754E"/>
    <w:rsid w:val="00CB7F70"/>
    <w:rsid w:val="00CC2486"/>
    <w:rsid w:val="00CC664D"/>
    <w:rsid w:val="00CD7ED2"/>
    <w:rsid w:val="00CE1924"/>
    <w:rsid w:val="00CF3356"/>
    <w:rsid w:val="00D0063F"/>
    <w:rsid w:val="00D05286"/>
    <w:rsid w:val="00D06A51"/>
    <w:rsid w:val="00D07449"/>
    <w:rsid w:val="00D11967"/>
    <w:rsid w:val="00D20FAB"/>
    <w:rsid w:val="00D31A2D"/>
    <w:rsid w:val="00D344B5"/>
    <w:rsid w:val="00D355B0"/>
    <w:rsid w:val="00D3611F"/>
    <w:rsid w:val="00D37D2C"/>
    <w:rsid w:val="00D41B9B"/>
    <w:rsid w:val="00D44DBF"/>
    <w:rsid w:val="00D52509"/>
    <w:rsid w:val="00D5680B"/>
    <w:rsid w:val="00D61A56"/>
    <w:rsid w:val="00D61D56"/>
    <w:rsid w:val="00D63FFB"/>
    <w:rsid w:val="00D6678F"/>
    <w:rsid w:val="00D734DA"/>
    <w:rsid w:val="00D767D6"/>
    <w:rsid w:val="00D77257"/>
    <w:rsid w:val="00D82096"/>
    <w:rsid w:val="00D85BE3"/>
    <w:rsid w:val="00D86620"/>
    <w:rsid w:val="00D9056A"/>
    <w:rsid w:val="00D91757"/>
    <w:rsid w:val="00D93476"/>
    <w:rsid w:val="00D937E5"/>
    <w:rsid w:val="00DA0297"/>
    <w:rsid w:val="00DA288B"/>
    <w:rsid w:val="00DA34ED"/>
    <w:rsid w:val="00DA3516"/>
    <w:rsid w:val="00DA3AD3"/>
    <w:rsid w:val="00DA568E"/>
    <w:rsid w:val="00DA62FC"/>
    <w:rsid w:val="00DB28AC"/>
    <w:rsid w:val="00DB2BF9"/>
    <w:rsid w:val="00DB51D9"/>
    <w:rsid w:val="00DB69C8"/>
    <w:rsid w:val="00DC2AB3"/>
    <w:rsid w:val="00DC37DD"/>
    <w:rsid w:val="00DC4FA6"/>
    <w:rsid w:val="00DC5C71"/>
    <w:rsid w:val="00DD0171"/>
    <w:rsid w:val="00DD1772"/>
    <w:rsid w:val="00DD53F2"/>
    <w:rsid w:val="00DE0DC5"/>
    <w:rsid w:val="00DE41F1"/>
    <w:rsid w:val="00DE569D"/>
    <w:rsid w:val="00DE7384"/>
    <w:rsid w:val="00DF2E34"/>
    <w:rsid w:val="00DF5D74"/>
    <w:rsid w:val="00E00955"/>
    <w:rsid w:val="00E01E2C"/>
    <w:rsid w:val="00E03A1A"/>
    <w:rsid w:val="00E05C8C"/>
    <w:rsid w:val="00E10B43"/>
    <w:rsid w:val="00E14F72"/>
    <w:rsid w:val="00E166C2"/>
    <w:rsid w:val="00E1683D"/>
    <w:rsid w:val="00E17A1A"/>
    <w:rsid w:val="00E2257B"/>
    <w:rsid w:val="00E227E9"/>
    <w:rsid w:val="00E343FE"/>
    <w:rsid w:val="00E35095"/>
    <w:rsid w:val="00E40997"/>
    <w:rsid w:val="00E41639"/>
    <w:rsid w:val="00E521C5"/>
    <w:rsid w:val="00E62696"/>
    <w:rsid w:val="00E62873"/>
    <w:rsid w:val="00E6421E"/>
    <w:rsid w:val="00E714E9"/>
    <w:rsid w:val="00E71FD4"/>
    <w:rsid w:val="00E74DEC"/>
    <w:rsid w:val="00E762B1"/>
    <w:rsid w:val="00E82C1A"/>
    <w:rsid w:val="00E85F46"/>
    <w:rsid w:val="00E9129D"/>
    <w:rsid w:val="00E952BD"/>
    <w:rsid w:val="00E9542A"/>
    <w:rsid w:val="00EA2904"/>
    <w:rsid w:val="00EA414A"/>
    <w:rsid w:val="00EB02F0"/>
    <w:rsid w:val="00EB633A"/>
    <w:rsid w:val="00EB6CE5"/>
    <w:rsid w:val="00EC12BD"/>
    <w:rsid w:val="00EC577F"/>
    <w:rsid w:val="00ED01B8"/>
    <w:rsid w:val="00ED0553"/>
    <w:rsid w:val="00ED6273"/>
    <w:rsid w:val="00EE135D"/>
    <w:rsid w:val="00EE3A06"/>
    <w:rsid w:val="00EE409E"/>
    <w:rsid w:val="00EE423F"/>
    <w:rsid w:val="00EE5E18"/>
    <w:rsid w:val="00EF0E8B"/>
    <w:rsid w:val="00EF3450"/>
    <w:rsid w:val="00EF6EC4"/>
    <w:rsid w:val="00F02F20"/>
    <w:rsid w:val="00F052EF"/>
    <w:rsid w:val="00F16C64"/>
    <w:rsid w:val="00F22E48"/>
    <w:rsid w:val="00F24797"/>
    <w:rsid w:val="00F24EFF"/>
    <w:rsid w:val="00F30F7A"/>
    <w:rsid w:val="00F31247"/>
    <w:rsid w:val="00F3246E"/>
    <w:rsid w:val="00F35A61"/>
    <w:rsid w:val="00F35E23"/>
    <w:rsid w:val="00F361A0"/>
    <w:rsid w:val="00F41A33"/>
    <w:rsid w:val="00F43061"/>
    <w:rsid w:val="00F43221"/>
    <w:rsid w:val="00F468E9"/>
    <w:rsid w:val="00F57B44"/>
    <w:rsid w:val="00F616F5"/>
    <w:rsid w:val="00F62A32"/>
    <w:rsid w:val="00F662F1"/>
    <w:rsid w:val="00F717CE"/>
    <w:rsid w:val="00F7379F"/>
    <w:rsid w:val="00F7389F"/>
    <w:rsid w:val="00F74A13"/>
    <w:rsid w:val="00F7777A"/>
    <w:rsid w:val="00F95828"/>
    <w:rsid w:val="00FB16C4"/>
    <w:rsid w:val="00FB5936"/>
    <w:rsid w:val="00FC4682"/>
    <w:rsid w:val="00FC55D5"/>
    <w:rsid w:val="00FD0390"/>
    <w:rsid w:val="00FD3C93"/>
    <w:rsid w:val="00FD5B15"/>
    <w:rsid w:val="00FE0D79"/>
    <w:rsid w:val="00FE4332"/>
    <w:rsid w:val="00FF0678"/>
    <w:rsid w:val="00FF13E5"/>
    <w:rsid w:val="00FF2D51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33672-303A-4B21-BE23-978F286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6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3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paragraph" w:styleId="Heading2">
    <w:name w:val="heading 2"/>
    <w:next w:val="Heading1"/>
    <w:link w:val="Heading2Char"/>
    <w:uiPriority w:val="9"/>
    <w:unhideWhenUsed/>
    <w:qFormat/>
    <w:rsid w:val="00942556"/>
    <w:pPr>
      <w:keepNext/>
      <w:keepLines/>
      <w:spacing w:after="0"/>
      <w:ind w:left="730" w:hanging="10"/>
      <w:outlineLvl w:val="1"/>
    </w:pPr>
    <w:rPr>
      <w:rFonts w:ascii="Calibri" w:eastAsia="Calibri" w:hAnsi="Calibri" w:cs="Calibri"/>
      <w:b/>
      <w:color w:val="33996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4F81BD"/>
      <w:sz w:val="26"/>
    </w:rPr>
  </w:style>
  <w:style w:type="character" w:customStyle="1" w:styleId="Heading2Char">
    <w:name w:val="Heading 2 Char"/>
    <w:link w:val="Heading2"/>
    <w:uiPriority w:val="9"/>
    <w:rsid w:val="00942556"/>
    <w:rPr>
      <w:rFonts w:ascii="Calibri" w:eastAsia="Calibri" w:hAnsi="Calibri" w:cs="Calibri"/>
      <w:b/>
      <w:color w:val="339966"/>
      <w:sz w:val="2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8" w:lineRule="auto"/>
      <w:ind w:left="32" w:right="49" w:hanging="32"/>
    </w:pPr>
    <w:rPr>
      <w:rFonts w:ascii="Calibri" w:eastAsia="Calibri" w:hAnsi="Calibri" w:cs="Calibri"/>
      <w:color w:val="0000FF"/>
      <w:sz w:val="16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FF"/>
      <w:sz w:val="16"/>
      <w:u w:val="single" w:color="0000FF"/>
    </w:rPr>
  </w:style>
  <w:style w:type="paragraph" w:styleId="TOC1">
    <w:name w:val="toc 1"/>
    <w:hidden/>
    <w:uiPriority w:val="39"/>
    <w:pPr>
      <w:spacing w:after="126" w:line="248" w:lineRule="auto"/>
      <w:ind w:left="25" w:right="44" w:hanging="10"/>
    </w:pPr>
    <w:rPr>
      <w:rFonts w:ascii="Calibri" w:eastAsia="Calibri" w:hAnsi="Calibri" w:cs="Calibri"/>
      <w:color w:val="000000"/>
    </w:rPr>
  </w:style>
  <w:style w:type="paragraph" w:styleId="TOC2">
    <w:name w:val="toc 2"/>
    <w:hidden/>
    <w:uiPriority w:val="39"/>
    <w:pPr>
      <w:spacing w:after="126" w:line="248" w:lineRule="auto"/>
      <w:ind w:left="246" w:right="44" w:hanging="10"/>
    </w:pPr>
    <w:rPr>
      <w:rFonts w:ascii="Calibri" w:eastAsia="Calibri" w:hAnsi="Calibri" w:cs="Calibri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D5"/>
    <w:rPr>
      <w:rFonts w:ascii="Tahoma" w:eastAsia="Calibri" w:hAnsi="Tahoma" w:cs="Tahoma"/>
      <w:color w:val="000000"/>
      <w:sz w:val="16"/>
      <w:szCs w:val="16"/>
    </w:rPr>
  </w:style>
  <w:style w:type="paragraph" w:customStyle="1" w:styleId="ProcurementHeading">
    <w:name w:val="Procurement Heading"/>
    <w:basedOn w:val="Heading1"/>
    <w:link w:val="ProcurementHeadingChar"/>
    <w:qFormat/>
    <w:rsid w:val="001F5D4D"/>
    <w:pPr>
      <w:numPr>
        <w:numId w:val="3"/>
      </w:numPr>
      <w:tabs>
        <w:tab w:val="center" w:pos="1749"/>
      </w:tabs>
      <w:spacing w:after="112" w:line="269" w:lineRule="auto"/>
    </w:pPr>
    <w:rPr>
      <w:rFonts w:asciiTheme="minorHAnsi" w:eastAsia="Cambria" w:hAnsiTheme="minorHAnsi" w:cstheme="minorHAnsi"/>
      <w:color w:val="385623" w:themeColor="accent6" w:themeShade="80"/>
      <w:sz w:val="28"/>
    </w:rPr>
  </w:style>
  <w:style w:type="character" w:customStyle="1" w:styleId="ProcurementHeadingChar">
    <w:name w:val="Procurement Heading Char"/>
    <w:basedOn w:val="Heading1Char"/>
    <w:link w:val="ProcurementHeading"/>
    <w:rsid w:val="001F5D4D"/>
    <w:rPr>
      <w:rFonts w:ascii="Calibri" w:eastAsia="Cambria" w:hAnsi="Calibri" w:cstheme="minorHAnsi"/>
      <w:b/>
      <w:color w:val="385623" w:themeColor="accent6" w:themeShade="80"/>
      <w:sz w:val="28"/>
    </w:rPr>
  </w:style>
  <w:style w:type="paragraph" w:customStyle="1" w:styleId="Procurementnumberedlist">
    <w:name w:val="Procurement numbered list"/>
    <w:basedOn w:val="Normal"/>
    <w:link w:val="ProcurementnumberedlistChar"/>
    <w:qFormat/>
    <w:rsid w:val="00AC392A"/>
    <w:pPr>
      <w:widowControl w:val="0"/>
      <w:numPr>
        <w:ilvl w:val="1"/>
        <w:numId w:val="3"/>
      </w:numPr>
      <w:tabs>
        <w:tab w:val="center" w:pos="993"/>
      </w:tabs>
    </w:pPr>
    <w:rPr>
      <w:color w:val="000000" w:themeColor="text1"/>
    </w:rPr>
  </w:style>
  <w:style w:type="character" w:customStyle="1" w:styleId="ProcurementnumberedlistChar">
    <w:name w:val="Procurement numbered list Char"/>
    <w:basedOn w:val="ProcurementHeadingChar"/>
    <w:link w:val="Procurementnumberedlist"/>
    <w:rsid w:val="00AC392A"/>
    <w:rPr>
      <w:rFonts w:ascii="Calibri" w:eastAsia="Calibri" w:hAnsi="Calibri" w:cs="Calibri"/>
      <w:b w:val="0"/>
      <w:color w:val="000000" w:themeColor="text1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0D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D79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0D7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0D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F81"/>
    <w:pPr>
      <w:ind w:left="720"/>
      <w:contextualSpacing/>
    </w:pPr>
  </w:style>
  <w:style w:type="table" w:styleId="TableGrid0">
    <w:name w:val="Table Grid"/>
    <w:basedOn w:val="TableNormal"/>
    <w:uiPriority w:val="39"/>
    <w:rsid w:val="0092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Procurementnumberedlist"/>
    <w:link w:val="BulletsChar"/>
    <w:qFormat/>
    <w:rsid w:val="0057728B"/>
    <w:pPr>
      <w:tabs>
        <w:tab w:val="clear" w:pos="993"/>
        <w:tab w:val="center" w:pos="851"/>
      </w:tabs>
    </w:pPr>
  </w:style>
  <w:style w:type="paragraph" w:styleId="NormalWeb">
    <w:name w:val="Normal (Web)"/>
    <w:basedOn w:val="Normal"/>
    <w:uiPriority w:val="99"/>
    <w:semiHidden/>
    <w:unhideWhenUsed/>
    <w:rsid w:val="006B3C7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lletsChar">
    <w:name w:val="Bullets Char"/>
    <w:basedOn w:val="ProcurementnumberedlistChar"/>
    <w:link w:val="Bullets"/>
    <w:rsid w:val="0057728B"/>
    <w:rPr>
      <w:rFonts w:ascii="Calibri" w:eastAsia="Calibri" w:hAnsi="Calibri" w:cs="Calibri"/>
      <w:b w:val="0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0D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5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0D5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5E58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6421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F66D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D6"/>
    <w:rPr>
      <w:color w:val="808080"/>
      <w:shd w:val="clear" w:color="auto" w:fill="E6E6E6"/>
    </w:rPr>
  </w:style>
  <w:style w:type="paragraph" w:customStyle="1" w:styleId="NormalIndent1">
    <w:name w:val="Normal Indent 1"/>
    <w:basedOn w:val="Normal"/>
    <w:rsid w:val="00926FB4"/>
    <w:pPr>
      <w:spacing w:before="120" w:after="120" w:line="240" w:lineRule="auto"/>
      <w:ind w:left="1440" w:firstLine="0"/>
      <w:jc w:val="both"/>
    </w:pPr>
    <w:rPr>
      <w:rFonts w:ascii="Arial" w:eastAsia="Times New Roman" w:hAnsi="Arial" w:cs="Times New Roman"/>
      <w:color w:val="auto"/>
      <w:sz w:val="20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926FB4"/>
    <w:rPr>
      <w:i/>
      <w:iCs/>
    </w:rPr>
  </w:style>
  <w:style w:type="paragraph" w:styleId="NoSpacing">
    <w:name w:val="No Spacing"/>
    <w:link w:val="NoSpacingChar"/>
    <w:uiPriority w:val="1"/>
    <w:qFormat/>
    <w:rsid w:val="00976C50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6C50"/>
    <w:rPr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9B61A3"/>
    <w:rPr>
      <w:i/>
      <w:iCs/>
      <w:color w:val="404040" w:themeColor="text1" w:themeTint="BF"/>
    </w:rPr>
  </w:style>
  <w:style w:type="character" w:customStyle="1" w:styleId="Bodytext1Char">
    <w:name w:val="Body text (1) Char"/>
    <w:basedOn w:val="DefaultParagraphFont"/>
    <w:link w:val="Bodytext1"/>
    <w:locked/>
    <w:rsid w:val="00303360"/>
    <w:rPr>
      <w:rFonts w:ascii="HelveticaNeueLT Pro 45 Lt" w:hAnsi="HelveticaNeueLT Pro 45 Lt" w:cs="GE Dinar One"/>
      <w:bCs/>
      <w:sz w:val="20"/>
      <w:szCs w:val="24"/>
    </w:rPr>
  </w:style>
  <w:style w:type="paragraph" w:customStyle="1" w:styleId="Bodytext1">
    <w:name w:val="Body text (1)"/>
    <w:basedOn w:val="Normal"/>
    <w:link w:val="Bodytext1Char"/>
    <w:qFormat/>
    <w:rsid w:val="00303360"/>
    <w:pPr>
      <w:spacing w:after="120" w:line="240" w:lineRule="auto"/>
      <w:ind w:left="0" w:firstLine="0"/>
      <w:jc w:val="both"/>
    </w:pPr>
    <w:rPr>
      <w:rFonts w:ascii="HelveticaNeueLT Pro 45 Lt" w:eastAsiaTheme="minorEastAsia" w:hAnsi="HelveticaNeueLT Pro 45 Lt" w:cs="GE Dinar One"/>
      <w:bCs/>
      <w:color w:val="auto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1C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C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F21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542ED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3A0C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A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A61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A61"/>
    <w:rPr>
      <w:vertAlign w:val="superscript"/>
    </w:rPr>
  </w:style>
  <w:style w:type="paragraph" w:customStyle="1" w:styleId="Header1DCEDIY">
    <w:name w:val="Header1_DCEDIY"/>
    <w:basedOn w:val="Heading1"/>
    <w:link w:val="Header1DCEDIYChar"/>
    <w:autoRedefine/>
    <w:qFormat/>
    <w:rsid w:val="00FC55D5"/>
    <w:pPr>
      <w:ind w:left="10"/>
    </w:pPr>
    <w:rPr>
      <w:rFonts w:ascii="Arial Nova" w:hAnsi="Arial Nova"/>
      <w:color w:val="2E74B5" w:themeColor="accent5" w:themeShade="BF"/>
      <w:sz w:val="28"/>
    </w:rPr>
  </w:style>
  <w:style w:type="character" w:customStyle="1" w:styleId="Header1DCEDIYChar">
    <w:name w:val="Header1_DCEDIY Char"/>
    <w:basedOn w:val="Heading1Char"/>
    <w:link w:val="Header1DCEDIY"/>
    <w:rsid w:val="00FC55D5"/>
    <w:rPr>
      <w:rFonts w:ascii="Arial Nova" w:eastAsia="Calibri" w:hAnsi="Arial Nova" w:cs="Calibri"/>
      <w:b/>
      <w:color w:val="2E74B5" w:themeColor="accent5" w:themeShade="BF"/>
      <w:sz w:val="28"/>
    </w:rPr>
  </w:style>
  <w:style w:type="table" w:customStyle="1" w:styleId="TableGrid1">
    <w:name w:val="Table Grid1"/>
    <w:basedOn w:val="TableNormal"/>
    <w:next w:val="TableGrid0"/>
    <w:uiPriority w:val="39"/>
    <w:rsid w:val="00FC55D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5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e/pdf/?file=https://assets.gov.ie/289339/acbe3826-06f6-4089-a359-702b7c8b529a.pdf" TargetMode="External"/><Relationship Id="rId18" Type="http://schemas.openxmlformats.org/officeDocument/2006/relationships/hyperlink" Target="https://www.gov.ie/pdf/?file=https://assets.gov.ie/280765/3b6db945-3ab9-45cb-af2e-3993f7636fb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ie/pdf/?file=https://assets.gov.ie/280765/3b6db945-3ab9-45cb-af2e-3993f7636f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pasinbox@equality.gov.i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ie/pdf/?file=https://assets.gov.ie/289339/acbe3826-06f6-4089-a359-702b7c8b529a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IPASINBOX@EQUALITY.GOV.I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e/pdf/?file=https://assets.gov.ie/289339/acbe3826-06f6-4089-a359-702b7c8b529a.pdf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ll%20Staff\Department_Letterhead_Templates\DCEDIY%20-%20Policy%202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ive Document" ma:contentTypeID="0x01010069E366FF22784FC59E3CD917E37BB452006D626926F90B8F4CA1F17EA901F034A1" ma:contentTypeVersion="49" ma:contentTypeDescription="" ma:contentTypeScope="" ma:versionID="d60643f95c9c0dda1ba2ac1412a39409">
  <xsd:schema xmlns:xsd="http://www.w3.org/2001/XMLSchema" xmlns:xs="http://www.w3.org/2001/XMLSchema" xmlns:p="http://schemas.microsoft.com/office/2006/metadata/properties" xmlns:ns2="724c791d-6899-4446-b608-13a59f7e7a07" targetNamespace="http://schemas.microsoft.com/office/2006/metadata/properties" ma:root="true" ma:fieldsID="51638c26fc7edac28c161651dda9fa79" ns2:_="">
    <xsd:import namespace="724c791d-6899-4446-b608-13a59f7e7a07"/>
    <xsd:element name="properties">
      <xsd:complexType>
        <xsd:sequence>
          <xsd:element name="documentManagement">
            <xsd:complexType>
              <xsd:all>
                <xsd:element ref="ns2:Hive_Pinned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c791d-6899-4446-b608-13a59f7e7a07" elementFormDefault="qualified">
    <xsd:import namespace="http://schemas.microsoft.com/office/2006/documentManagement/types"/>
    <xsd:import namespace="http://schemas.microsoft.com/office/infopath/2007/PartnerControls"/>
    <xsd:element name="Hive_PinnedDoc" ma:index="8" nillable="true" ma:displayName="Pinned Document" ma:default="false" ma:internalName="Hive_PinnedDoc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ve_PinnedDoc xmlns="724c791d-6899-4446-b608-13a59f7e7a07">true</Hive_Pinned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2CEBA53-3164-4295-8FD0-33D497211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c791d-6899-4446-b608-13a59f7e7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C3942-80BD-431D-B320-1552D50E0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36B31-830D-41FD-BF26-B8F3A1349ECC}">
  <ds:schemaRefs>
    <ds:schemaRef ds:uri="http://schemas.microsoft.com/office/2006/metadata/properties"/>
    <ds:schemaRef ds:uri="http://schemas.microsoft.com/office/infopath/2007/PartnerControls"/>
    <ds:schemaRef ds:uri="724c791d-6899-4446-b608-13a59f7e7a07"/>
  </ds:schemaRefs>
</ds:datastoreItem>
</file>

<file path=customXml/itemProps4.xml><?xml version="1.0" encoding="utf-8"?>
<ds:datastoreItem xmlns:ds="http://schemas.openxmlformats.org/officeDocument/2006/customXml" ds:itemID="{A7C86BC9-C970-431E-BB56-C636F109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DCEDIY - Policy 2 Template</Template>
  <TotalTime>0</TotalTime>
  <Pages>5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DCYA's Procurement Polcy and Procedures</vt:lpstr>
    </vt:vector>
  </TitlesOfParts>
  <Company>Hewlett-Packard Company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DCYA's Procurement Polcy and Procedures</dc:title>
  <dc:creator>Aidan Caffrey (DCEDIY)</dc:creator>
  <cp:lastModifiedBy>Hogan, Oonagh (St Joseph Health Campus)</cp:lastModifiedBy>
  <cp:revision>2</cp:revision>
  <cp:lastPrinted>2018-12-17T16:41:00Z</cp:lastPrinted>
  <dcterms:created xsi:type="dcterms:W3CDTF">2024-09-04T11:13:00Z</dcterms:created>
  <dcterms:modified xsi:type="dcterms:W3CDTF">2024-09-04T11:13:00Z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0x01010069E366FF22784FC59E3CD917E37BB452006D626926F90B8F4CA1F17EA901F034A1</vt:lpwstr>
  </property>
</Properties>
</file>